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0E3" w:rsidRDefault="0043194A">
      <w:pPr>
        <w:pStyle w:val="Heading410"/>
        <w:keepNext/>
        <w:keepLines/>
        <w:spacing w:line="240" w:lineRule="auto"/>
      </w:pPr>
      <w:bookmarkStart w:id="0" w:name="bookmark0"/>
      <w:bookmarkStart w:id="1" w:name="bookmark1"/>
      <w:bookmarkStart w:id="2" w:name="bookmark2"/>
      <w:r>
        <w:t>+</w:t>
      </w:r>
      <w:r>
        <w:t>测试技术</w:t>
      </w:r>
      <w:r>
        <w:t>+</w:t>
      </w:r>
      <w:bookmarkEnd w:id="0"/>
      <w:bookmarkEnd w:id="1"/>
      <w:bookmarkEnd w:id="2"/>
    </w:p>
    <w:p w:rsidR="005740E3" w:rsidRDefault="0043194A">
      <w:pPr>
        <w:pStyle w:val="Bodytext20"/>
        <w:tabs>
          <w:tab w:val="left" w:leader="hyphen" w:pos="558"/>
        </w:tabs>
        <w:spacing w:after="140" w:line="240" w:lineRule="auto"/>
        <w:ind w:left="0" w:firstLine="200"/>
        <w:rPr>
          <w:lang w:eastAsia="zh-CN"/>
        </w:rPr>
      </w:pPr>
      <w:r>
        <w:rPr>
          <w:lang w:val="zh-TW" w:eastAsia="zh-TW" w:bidi="zh-TW"/>
        </w:rPr>
        <w:t>—</w:t>
      </w:r>
      <w:r>
        <w:rPr>
          <w:lang w:eastAsia="zh-CN"/>
        </w:rPr>
        <w:t>f</w:t>
      </w:r>
      <w:r>
        <w:rPr>
          <w:lang w:val="zh-TW" w:eastAsia="zh-TW" w:bidi="zh-TW"/>
        </w:rPr>
        <w:tab/>
        <w:t>1</w:t>
      </w:r>
      <w:r>
        <w:rPr>
          <w:lang w:eastAsia="zh-CN"/>
        </w:rPr>
        <w:t>-4</w:t>
      </w:r>
      <w:r>
        <w:rPr>
          <w:lang w:val="zh-TW" w:eastAsia="zh-TW" w:bidi="zh-TW"/>
        </w:rPr>
        <w:t>—</w:t>
      </w:r>
      <w:r>
        <w:rPr>
          <w:lang w:eastAsia="zh-CN"/>
        </w:rPr>
        <w:t>H*</w:t>
      </w:r>
    </w:p>
    <w:p w:rsidR="005740E3" w:rsidRDefault="0043194A">
      <w:pPr>
        <w:pStyle w:val="Heading110"/>
        <w:keepNext/>
        <w:keepLines/>
        <w:spacing w:after="380"/>
        <w:ind w:left="0"/>
      </w:pPr>
      <w:bookmarkStart w:id="3" w:name="bookmark3"/>
      <w:bookmarkStart w:id="4" w:name="bookmark4"/>
      <w:bookmarkStart w:id="5" w:name="bookmark5"/>
      <w:r>
        <w:t>聚烯燈氧化诱导期的测试</w:t>
      </w:r>
      <w:bookmarkEnd w:id="3"/>
      <w:bookmarkEnd w:id="4"/>
      <w:bookmarkEnd w:id="5"/>
    </w:p>
    <w:p w:rsidR="005740E3" w:rsidRDefault="0043194A">
      <w:pPr>
        <w:pStyle w:val="Heading210"/>
        <w:keepNext/>
        <w:keepLines/>
        <w:spacing w:after="0"/>
        <w:jc w:val="center"/>
      </w:pPr>
      <w:bookmarkStart w:id="6" w:name="bookmark6"/>
      <w:bookmarkStart w:id="7" w:name="bookmark7"/>
      <w:bookmarkStart w:id="8" w:name="bookmark8"/>
      <w:r>
        <w:t>张瑾</w:t>
      </w:r>
      <w:bookmarkEnd w:id="6"/>
      <w:bookmarkEnd w:id="7"/>
      <w:bookmarkEnd w:id="8"/>
    </w:p>
    <w:p w:rsidR="005740E3" w:rsidRDefault="0043194A">
      <w:pPr>
        <w:pStyle w:val="Bodytext30"/>
        <w:spacing w:after="260" w:line="295" w:lineRule="exact"/>
        <w:ind w:left="0"/>
        <w:jc w:val="center"/>
        <w:rPr>
          <w:sz w:val="16"/>
          <w:szCs w:val="16"/>
        </w:rPr>
      </w:pPr>
      <w:r>
        <w:t>（中国电子科技集团公司第二十三研究所，上海</w:t>
      </w:r>
      <w:r>
        <w:rPr>
          <w:rFonts w:ascii="Times New Roman" w:eastAsia="Times New Roman" w:hAnsi="Times New Roman" w:cs="Times New Roman"/>
          <w:b/>
          <w:bCs/>
          <w:sz w:val="16"/>
          <w:szCs w:val="16"/>
        </w:rPr>
        <w:t>201900）</w:t>
      </w:r>
    </w:p>
    <w:p w:rsidR="005740E3" w:rsidRDefault="0043194A">
      <w:pPr>
        <w:pStyle w:val="Bodytext30"/>
        <w:spacing w:line="295" w:lineRule="exact"/>
        <w:ind w:left="380" w:firstLine="360"/>
        <w:jc w:val="both"/>
      </w:pPr>
      <w:r>
        <w:rPr>
          <w:lang w:val="zh-CN" w:eastAsia="zh-CN" w:bidi="zh-CN"/>
        </w:rPr>
        <w:t>［摘</w:t>
      </w:r>
      <w:r>
        <w:t>要</w:t>
      </w:r>
      <w:r>
        <w:rPr>
          <w:lang w:val="en-US" w:eastAsia="zh-CN" w:bidi="en-US"/>
        </w:rPr>
        <w:t>］</w:t>
      </w:r>
      <w:r>
        <w:t>详细介绍了光缆和电缆护套和绝缘用</w:t>
      </w:r>
      <w:proofErr w:type="gramStart"/>
      <w:r>
        <w:t>聚烯炷的</w:t>
      </w:r>
      <w:proofErr w:type="gramEnd"/>
      <w:r>
        <w:rPr>
          <w:sz w:val="14"/>
          <w:szCs w:val="14"/>
          <w:lang w:val="en-US" w:eastAsia="zh-CN" w:bidi="en-US"/>
        </w:rPr>
        <w:t>OIT</w:t>
      </w:r>
      <w:r>
        <w:t>（氧化诱导期）的具体测试方法。并介绍用功率</w:t>
      </w:r>
      <w:r>
        <w:t xml:space="preserve"> </w:t>
      </w:r>
      <w:r>
        <w:t>补偿式</w:t>
      </w:r>
      <w:r>
        <w:rPr>
          <w:sz w:val="14"/>
          <w:szCs w:val="14"/>
          <w:lang w:val="en-US" w:eastAsia="zh-CN" w:bidi="en-US"/>
        </w:rPr>
        <w:t>DSC</w:t>
      </w:r>
      <w:r>
        <w:t>（差示扫描量热法）在</w:t>
      </w:r>
      <w:r>
        <w:rPr>
          <w:sz w:val="14"/>
          <w:szCs w:val="14"/>
          <w:lang w:val="en-US" w:eastAsia="zh-CN" w:bidi="en-US"/>
        </w:rPr>
        <w:t>OIT</w:t>
      </w:r>
      <w:r>
        <w:t>测试过程中的各种影响因素，以确定适当的测试条件，使测试结果尽可能真正</w:t>
      </w:r>
      <w:r>
        <w:t xml:space="preserve"> </w:t>
      </w:r>
      <w:r>
        <w:t>反映材料本身的抗氧化</w:t>
      </w:r>
      <w:bookmarkStart w:id="9" w:name="_GoBack"/>
      <w:bookmarkEnd w:id="9"/>
      <w:r>
        <w:t>能力。</w:t>
      </w:r>
    </w:p>
    <w:p w:rsidR="005740E3" w:rsidRDefault="0043194A">
      <w:pPr>
        <w:pStyle w:val="Bodytext30"/>
        <w:spacing w:after="80" w:line="295" w:lineRule="exact"/>
        <w:ind w:left="0" w:firstLine="740"/>
      </w:pPr>
      <w:r>
        <w:t>［关键词</w:t>
      </w:r>
      <w:r>
        <w:rPr>
          <w:lang w:val="en-US" w:eastAsia="zh-CN" w:bidi="en-US"/>
        </w:rPr>
        <w:t>］</w:t>
      </w:r>
      <w:r>
        <w:t>聚烯烷；氧化诱导期；热分析</w:t>
      </w:r>
      <w:r>
        <w:t>;</w:t>
      </w:r>
      <w:r>
        <w:t>差示扫描量热法</w:t>
      </w:r>
    </w:p>
    <w:p w:rsidR="005740E3" w:rsidRDefault="0043194A">
      <w:pPr>
        <w:pStyle w:val="Bodytext20"/>
        <w:tabs>
          <w:tab w:val="left" w:pos="2866"/>
          <w:tab w:val="left" w:pos="4589"/>
        </w:tabs>
        <w:spacing w:after="380" w:line="240" w:lineRule="auto"/>
        <w:ind w:left="0" w:firstLine="480"/>
        <w:rPr>
          <w:lang w:eastAsia="zh-CN"/>
        </w:rPr>
      </w:pPr>
      <w:r>
        <w:rPr>
          <w:sz w:val="17"/>
          <w:szCs w:val="17"/>
          <w:lang w:eastAsia="zh-CN"/>
        </w:rPr>
        <w:t>'</w:t>
      </w:r>
      <w:r>
        <w:rPr>
          <w:sz w:val="17"/>
          <w:szCs w:val="17"/>
          <w:lang w:val="zh-TW" w:eastAsia="zh-TW" w:bidi="zh-TW"/>
        </w:rPr>
        <w:t>［中图分类号</w:t>
      </w:r>
      <w:r>
        <w:rPr>
          <w:sz w:val="17"/>
          <w:szCs w:val="17"/>
          <w:lang w:eastAsia="zh-CN"/>
        </w:rPr>
        <w:t>］</w:t>
      </w:r>
      <w:r>
        <w:rPr>
          <w:lang w:eastAsia="zh-CN"/>
        </w:rPr>
        <w:t>TM248</w:t>
      </w:r>
      <w:r>
        <w:rPr>
          <w:lang w:eastAsia="zh-CN"/>
        </w:rPr>
        <w:tab/>
      </w:r>
      <w:r>
        <w:rPr>
          <w:sz w:val="17"/>
          <w:szCs w:val="17"/>
          <w:lang w:val="zh-TW" w:eastAsia="zh-TW" w:bidi="zh-TW"/>
        </w:rPr>
        <w:t>［文献标识码</w:t>
      </w:r>
      <w:r>
        <w:rPr>
          <w:sz w:val="17"/>
          <w:szCs w:val="17"/>
          <w:lang w:eastAsia="zh-CN"/>
        </w:rPr>
        <w:t>］</w:t>
      </w:r>
      <w:r>
        <w:rPr>
          <w:lang w:eastAsia="zh-CN"/>
        </w:rPr>
        <w:t>B</w:t>
      </w:r>
      <w:r>
        <w:rPr>
          <w:lang w:eastAsia="zh-CN"/>
        </w:rPr>
        <w:tab/>
      </w:r>
      <w:r>
        <w:rPr>
          <w:sz w:val="17"/>
          <w:szCs w:val="17"/>
          <w:lang w:val="zh-TW" w:eastAsia="zh-TW" w:bidi="zh-TW"/>
        </w:rPr>
        <w:t>［文章编号］</w:t>
      </w:r>
      <w:r>
        <w:rPr>
          <w:lang w:eastAsia="zh-CN"/>
        </w:rPr>
        <w:t>1006-1908</w:t>
      </w:r>
      <w:r>
        <w:rPr>
          <w:lang w:eastAsia="zh-CN"/>
        </w:rPr>
        <w:t>（</w:t>
      </w:r>
      <w:r>
        <w:rPr>
          <w:lang w:eastAsia="zh-CN"/>
        </w:rPr>
        <w:t>2008</w:t>
      </w:r>
      <w:r>
        <w:rPr>
          <w:lang w:eastAsia="zh-CN"/>
        </w:rPr>
        <w:t>）</w:t>
      </w:r>
      <w:r>
        <w:rPr>
          <w:lang w:eastAsia="zh-CN"/>
        </w:rPr>
        <w:t>06-0025-03</w:t>
      </w:r>
    </w:p>
    <w:p w:rsidR="005740E3" w:rsidRDefault="0043194A">
      <w:pPr>
        <w:pStyle w:val="Bodytext60"/>
      </w:pPr>
      <w:r>
        <w:t>Testing of Oxidative Induction Time of Polyolefin with DSC</w:t>
      </w:r>
    </w:p>
    <w:p w:rsidR="005740E3" w:rsidRDefault="0043194A">
      <w:pPr>
        <w:pStyle w:val="Bodytext40"/>
        <w:spacing w:after="80" w:line="240" w:lineRule="auto"/>
        <w:ind w:firstLine="0"/>
        <w:jc w:val="center"/>
      </w:pPr>
      <w:r>
        <w:rPr>
          <w:lang w:val="en-US" w:eastAsia="en-US" w:bidi="en-US"/>
        </w:rPr>
        <w:t xml:space="preserve">ZHANG </w:t>
      </w:r>
      <w:proofErr w:type="spellStart"/>
      <w:r>
        <w:rPr>
          <w:lang w:val="en-US" w:eastAsia="en-US" w:bidi="en-US"/>
        </w:rPr>
        <w:t>Jin</w:t>
      </w:r>
      <w:proofErr w:type="spellEnd"/>
    </w:p>
    <w:p w:rsidR="005740E3" w:rsidRDefault="0043194A">
      <w:pPr>
        <w:pStyle w:val="Bodytext50"/>
      </w:pPr>
      <w:r>
        <w:t>(The 23rd Research Institute, CETC, Shanghai 201900, China)</w:t>
      </w:r>
    </w:p>
    <w:p w:rsidR="005740E3" w:rsidRDefault="0043194A">
      <w:pPr>
        <w:pStyle w:val="Bodytext20"/>
        <w:spacing w:line="282" w:lineRule="exact"/>
        <w:ind w:left="380" w:firstLine="360"/>
        <w:jc w:val="both"/>
      </w:pPr>
      <w:r>
        <w:rPr>
          <w:rFonts w:ascii="Times New Roman" w:eastAsia="Times New Roman" w:hAnsi="Times New Roman" w:cs="Times New Roman"/>
          <w:b/>
          <w:bCs/>
          <w:sz w:val="16"/>
          <w:szCs w:val="16"/>
        </w:rPr>
        <w:t>Abstract</w:t>
      </w:r>
      <w:r>
        <w:rPr>
          <w:rFonts w:ascii="Times New Roman" w:eastAsia="Times New Roman" w:hAnsi="Times New Roman" w:cs="Times New Roman"/>
          <w:b/>
          <w:bCs/>
          <w:sz w:val="16"/>
          <w:szCs w:val="16"/>
          <w:lang w:val="zh-TW" w:eastAsia="zh-TW" w:bidi="zh-TW"/>
        </w:rPr>
        <w:t xml:space="preserve">: </w:t>
      </w:r>
      <w:r>
        <w:t>The testing methods for OIT of polyolefin used in fiber optic cables and electric cables as</w:t>
      </w:r>
      <w:r>
        <w:t xml:space="preserve"> sheath and insulation are introduced in detail. And various affecting factors in the process of OIT test using DSC technique are presented, so as to determine appropriate testing conditions and make the testing results really reflecting the </w:t>
      </w:r>
      <w:proofErr w:type="spellStart"/>
      <w:r>
        <w:t>anti</w:t>
      </w:r>
      <w:r>
        <w:softHyphen/>
        <w:t>oxidation</w:t>
      </w:r>
      <w:proofErr w:type="spellEnd"/>
      <w:r>
        <w:t xml:space="preserve"> property of the polyolefin itself.</w:t>
      </w:r>
    </w:p>
    <w:p w:rsidR="005740E3" w:rsidRDefault="0043194A">
      <w:pPr>
        <w:pStyle w:val="Bodytext20"/>
        <w:spacing w:line="282" w:lineRule="exact"/>
        <w:ind w:left="0" w:firstLine="740"/>
        <w:sectPr w:rsidR="005740E3">
          <w:headerReference w:type="even" r:id="rId7"/>
          <w:headerReference w:type="default" r:id="rId8"/>
          <w:headerReference w:type="first" r:id="rId9"/>
          <w:pgSz w:w="11213" w:h="15773"/>
          <w:pgMar w:top="1339" w:right="840" w:bottom="725" w:left="706" w:header="0" w:footer="3" w:gutter="0"/>
          <w:pgNumType w:start="1"/>
          <w:cols w:space="720"/>
          <w:noEndnote/>
          <w:titlePg/>
          <w:docGrid w:linePitch="360"/>
        </w:sectPr>
      </w:pPr>
      <w:r>
        <w:rPr>
          <w:rFonts w:ascii="Times New Roman" w:eastAsia="Times New Roman" w:hAnsi="Times New Roman" w:cs="Times New Roman"/>
          <w:b/>
          <w:bCs/>
          <w:sz w:val="16"/>
          <w:szCs w:val="16"/>
        </w:rPr>
        <w:t>Key words</w:t>
      </w:r>
      <w:r>
        <w:rPr>
          <w:b/>
          <w:bCs/>
          <w:sz w:val="17"/>
          <w:szCs w:val="17"/>
        </w:rPr>
        <w:t>：</w:t>
      </w:r>
      <w:r>
        <w:rPr>
          <w:rFonts w:ascii="Times New Roman" w:eastAsia="Times New Roman" w:hAnsi="Times New Roman" w:cs="Times New Roman"/>
          <w:b/>
          <w:bCs/>
          <w:sz w:val="16"/>
          <w:szCs w:val="16"/>
        </w:rPr>
        <w:t xml:space="preserve"> </w:t>
      </w:r>
      <w:r>
        <w:t>polyolefin</w:t>
      </w:r>
      <w:r>
        <w:t>；</w:t>
      </w:r>
      <w:r>
        <w:t xml:space="preserve"> oxidative induction time(OIT) </w:t>
      </w:r>
      <w:r>
        <w:t>；</w:t>
      </w:r>
      <w:r>
        <w:t xml:space="preserve"> thermal analysis</w:t>
      </w:r>
      <w:r>
        <w:t>；</w:t>
      </w:r>
      <w:r>
        <w:t xml:space="preserve"> differential scanning calorimetry(DSC)</w:t>
      </w:r>
    </w:p>
    <w:p w:rsidR="005740E3" w:rsidRDefault="005740E3">
      <w:pPr>
        <w:spacing w:line="220" w:lineRule="exact"/>
        <w:rPr>
          <w:sz w:val="18"/>
          <w:szCs w:val="18"/>
        </w:rPr>
      </w:pPr>
    </w:p>
    <w:p w:rsidR="005740E3" w:rsidRDefault="005740E3">
      <w:pPr>
        <w:spacing w:line="1" w:lineRule="exact"/>
        <w:sectPr w:rsidR="005740E3">
          <w:type w:val="continuous"/>
          <w:pgSz w:w="11213" w:h="15773"/>
          <w:pgMar w:top="1046" w:right="0" w:bottom="764" w:left="0" w:header="0" w:footer="3" w:gutter="0"/>
          <w:cols w:space="720"/>
          <w:noEndnote/>
          <w:docGrid w:linePitch="360"/>
        </w:sectPr>
      </w:pPr>
    </w:p>
    <w:p w:rsidR="005740E3" w:rsidRDefault="0043194A">
      <w:pPr>
        <w:pStyle w:val="Heading310"/>
        <w:keepNext/>
        <w:keepLines/>
        <w:spacing w:after="100"/>
        <w:jc w:val="both"/>
      </w:pPr>
      <w:bookmarkStart w:id="10" w:name="bookmark10"/>
      <w:bookmarkStart w:id="11" w:name="bookmark11"/>
      <w:bookmarkStart w:id="12" w:name="bookmark9"/>
      <w:r>
        <w:lastRenderedPageBreak/>
        <w:t>。引言</w:t>
      </w:r>
      <w:bookmarkEnd w:id="10"/>
      <w:bookmarkEnd w:id="11"/>
      <w:bookmarkEnd w:id="12"/>
    </w:p>
    <w:p w:rsidR="005740E3" w:rsidRDefault="0043194A">
      <w:pPr>
        <w:pStyle w:val="Bodytext10"/>
        <w:spacing w:after="180" w:line="311" w:lineRule="exact"/>
        <w:ind w:firstLine="440"/>
        <w:jc w:val="both"/>
      </w:pPr>
      <w:r>
        <w:t>聚烯炷材料通常用作电缆及光缆的护套和绝</w:t>
      </w:r>
      <w:r>
        <w:t xml:space="preserve"> </w:t>
      </w:r>
      <w:r>
        <w:t>缘，聚烯炷材料护套和绝缘的热氧化稳定性能可以</w:t>
      </w:r>
      <w:r>
        <w:t xml:space="preserve"> </w:t>
      </w:r>
      <w:r>
        <w:t>用来判断电缆及光缆的使用寿命。氧化诱导期</w:t>
      </w:r>
      <w:r>
        <w:t xml:space="preserve"> </w:t>
      </w:r>
      <w:r>
        <w:rPr>
          <w:rFonts w:ascii="Times New Roman" w:eastAsia="Times New Roman" w:hAnsi="Times New Roman" w:cs="Times New Roman"/>
          <w:sz w:val="20"/>
          <w:szCs w:val="20"/>
          <w:lang w:val="en-US" w:bidi="en-US"/>
        </w:rPr>
        <w:t xml:space="preserve">（Oxidative Induction </w:t>
      </w:r>
      <w:r>
        <w:rPr>
          <w:rFonts w:ascii="Times New Roman" w:eastAsia="Times New Roman" w:hAnsi="Times New Roman" w:cs="Times New Roman"/>
          <w:sz w:val="20"/>
          <w:szCs w:val="20"/>
          <w:lang w:val="en-US" w:bidi="en-US"/>
        </w:rPr>
        <w:t>Time, OIT）</w:t>
      </w:r>
      <w:r>
        <w:t>是稳定化材料耐</w:t>
      </w:r>
      <w:r>
        <w:t xml:space="preserve"> </w:t>
      </w:r>
      <w:r>
        <w:t>氧化分解的一种相对量度，是对材料稳定化水平的</w:t>
      </w:r>
      <w:r>
        <w:t xml:space="preserve"> </w:t>
      </w:r>
      <w:r>
        <w:t>一种评价。通过将加有抗氧化稳定剂的试样置于特</w:t>
      </w:r>
      <w:r>
        <w:t xml:space="preserve"> </w:t>
      </w:r>
      <w:r>
        <w:t>定温度的氧气流下，测量从通氧与氧化反应之间的</w:t>
      </w:r>
      <w:r>
        <w:t xml:space="preserve"> </w:t>
      </w:r>
      <w:r>
        <w:t>时间间隔</w:t>
      </w:r>
      <w:r>
        <w:t>,</w:t>
      </w:r>
      <w:r>
        <w:t>来确定材料的</w:t>
      </w:r>
      <w:r>
        <w:rPr>
          <w:rFonts w:ascii="Times New Roman" w:eastAsia="Times New Roman" w:hAnsi="Times New Roman" w:cs="Times New Roman"/>
          <w:sz w:val="20"/>
          <w:szCs w:val="20"/>
          <w:lang w:val="en-US" w:bidi="en-US"/>
        </w:rPr>
        <w:t>OIT</w:t>
      </w:r>
      <w:r>
        <w:rPr>
          <w:lang w:val="en-US" w:bidi="en-US"/>
        </w:rPr>
        <w:t>。</w:t>
      </w:r>
      <w:r>
        <w:t>一般可用差示扫描</w:t>
      </w:r>
      <w:r>
        <w:t xml:space="preserve"> </w:t>
      </w:r>
      <w:r>
        <w:t>量热法</w:t>
      </w:r>
      <w:r>
        <w:rPr>
          <w:sz w:val="20"/>
          <w:szCs w:val="20"/>
        </w:rPr>
        <w:t>（</w:t>
      </w:r>
      <w:r>
        <w:rPr>
          <w:rFonts w:ascii="Times New Roman" w:eastAsia="Times New Roman" w:hAnsi="Times New Roman" w:cs="Times New Roman"/>
          <w:sz w:val="20"/>
          <w:szCs w:val="20"/>
          <w:lang w:val="en-US" w:bidi="en-US"/>
        </w:rPr>
        <w:t>Differential Scanning Calorimetry</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bidi="en-US"/>
        </w:rPr>
        <w:t>DSC）</w:t>
      </w:r>
      <w:r>
        <w:t>来</w:t>
      </w:r>
      <w:r>
        <w:t xml:space="preserve"> </w:t>
      </w:r>
      <w:r>
        <w:t>简单快速地测量。</w:t>
      </w:r>
    </w:p>
    <w:p w:rsidR="005740E3" w:rsidRDefault="0043194A">
      <w:pPr>
        <w:pStyle w:val="Heading210"/>
        <w:keepNext/>
        <w:keepLines/>
        <w:spacing w:after="100"/>
        <w:jc w:val="both"/>
      </w:pPr>
      <w:bookmarkStart w:id="13" w:name="bookmark12"/>
      <w:bookmarkStart w:id="14" w:name="bookmark13"/>
      <w:bookmarkStart w:id="15" w:name="bookmark14"/>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lang w:val="en-US" w:bidi="en-US"/>
        </w:rPr>
        <w:t>OIT</w:t>
      </w:r>
      <w:r>
        <w:t>的</w:t>
      </w:r>
      <w:r>
        <w:rPr>
          <w:rFonts w:ascii="Times New Roman" w:eastAsia="Times New Roman" w:hAnsi="Times New Roman" w:cs="Times New Roman"/>
          <w:sz w:val="28"/>
          <w:szCs w:val="28"/>
          <w:lang w:val="en-US" w:bidi="en-US"/>
        </w:rPr>
        <w:t>DSC</w:t>
      </w:r>
      <w:r>
        <w:t>测定方法</w:t>
      </w:r>
      <w:bookmarkEnd w:id="13"/>
      <w:bookmarkEnd w:id="14"/>
      <w:bookmarkEnd w:id="15"/>
    </w:p>
    <w:p w:rsidR="005740E3" w:rsidRDefault="0043194A">
      <w:pPr>
        <w:pStyle w:val="Heading410"/>
        <w:keepNext/>
        <w:keepLines/>
        <w:spacing w:line="311" w:lineRule="exact"/>
        <w:jc w:val="both"/>
      </w:pPr>
      <w:bookmarkStart w:id="16" w:name="bookmark15"/>
      <w:bookmarkStart w:id="17" w:name="bookmark16"/>
      <w:bookmarkStart w:id="18" w:name="bookmark17"/>
      <w:r>
        <w:rPr>
          <w:rFonts w:ascii="Times New Roman" w:eastAsia="Times New Roman" w:hAnsi="Times New Roman" w:cs="Times New Roman"/>
          <w:sz w:val="20"/>
          <w:szCs w:val="20"/>
          <w:lang w:val="en-US" w:bidi="en-US"/>
        </w:rPr>
        <w:t>1.1</w:t>
      </w:r>
      <w:r>
        <w:t>测试仪器和试样制备</w:t>
      </w:r>
      <w:bookmarkEnd w:id="16"/>
      <w:bookmarkEnd w:id="17"/>
      <w:bookmarkEnd w:id="18"/>
    </w:p>
    <w:p w:rsidR="005740E3" w:rsidRDefault="0043194A">
      <w:pPr>
        <w:pStyle w:val="Bodytext10"/>
        <w:spacing w:after="400" w:line="324" w:lineRule="exact"/>
        <w:ind w:firstLine="440"/>
        <w:jc w:val="both"/>
      </w:pPr>
      <w:r>
        <w:t>采用</w:t>
      </w:r>
      <w:r>
        <w:rPr>
          <w:rFonts w:ascii="Times New Roman" w:eastAsia="Times New Roman" w:hAnsi="Times New Roman" w:cs="Times New Roman"/>
          <w:sz w:val="20"/>
          <w:szCs w:val="20"/>
          <w:lang w:val="en-US" w:bidi="en-US"/>
        </w:rPr>
        <w:t>DSC</w:t>
      </w:r>
      <w:r>
        <w:t>进行</w:t>
      </w:r>
      <w:r>
        <w:rPr>
          <w:rFonts w:ascii="Times New Roman" w:eastAsia="Times New Roman" w:hAnsi="Times New Roman" w:cs="Times New Roman"/>
          <w:sz w:val="20"/>
          <w:szCs w:val="20"/>
          <w:lang w:val="en-US" w:bidi="en-US"/>
        </w:rPr>
        <w:t>OIT</w:t>
      </w:r>
      <w:r>
        <w:t>测试时，差动热分析仪应</w:t>
      </w:r>
      <w:r>
        <w:t xml:space="preserve"> </w:t>
      </w:r>
      <w:r>
        <w:t>保证测试温度的精度达到士</w:t>
      </w:r>
      <w:r>
        <w:t xml:space="preserve"> </w:t>
      </w:r>
      <w:r>
        <w:rPr>
          <w:rFonts w:ascii="Times New Roman" w:eastAsia="Times New Roman" w:hAnsi="Times New Roman" w:cs="Times New Roman"/>
          <w:sz w:val="20"/>
          <w:szCs w:val="20"/>
          <w:lang w:val="en-US" w:bidi="en-US"/>
        </w:rPr>
        <w:t>0.1 °C,</w:t>
      </w:r>
      <w:r>
        <w:t>其釆用锢和锡</w:t>
      </w:r>
      <w:r>
        <w:t xml:space="preserve"> </w:t>
      </w:r>
      <w:r>
        <w:t>作为测试温度的校准物质。由于铜会催化氧化材</w:t>
      </w:r>
    </w:p>
    <w:p w:rsidR="005740E3" w:rsidRDefault="0043194A">
      <w:pPr>
        <w:pStyle w:val="Bodytext20"/>
        <w:spacing w:line="221" w:lineRule="exact"/>
        <w:ind w:left="0" w:firstLine="0"/>
        <w:jc w:val="both"/>
        <w:rPr>
          <w:lang w:eastAsia="zh-CN"/>
        </w:rPr>
      </w:pPr>
      <w:r>
        <w:rPr>
          <w:b/>
          <w:bCs/>
          <w:sz w:val="17"/>
          <w:szCs w:val="17"/>
          <w:lang w:val="zh-TW" w:eastAsia="zh-TW" w:bidi="zh-TW"/>
        </w:rPr>
        <w:t>［收稿日期</w:t>
      </w:r>
      <w:r>
        <w:rPr>
          <w:lang w:eastAsia="zh-CN"/>
        </w:rPr>
        <w:t>］</w:t>
      </w:r>
      <w:r>
        <w:rPr>
          <w:lang w:eastAsia="zh-CN"/>
        </w:rPr>
        <w:t>2008-08-27</w:t>
      </w:r>
    </w:p>
    <w:p w:rsidR="005740E3" w:rsidRDefault="0043194A">
      <w:pPr>
        <w:pStyle w:val="Bodytext30"/>
        <w:spacing w:line="221" w:lineRule="exact"/>
        <w:ind w:left="1080" w:hanging="1080"/>
        <w:jc w:val="both"/>
      </w:pPr>
      <w:r>
        <w:rPr>
          <w:lang w:val="zh-CN" w:eastAsia="zh-CN" w:bidi="zh-CN"/>
        </w:rPr>
        <w:t>［作</w:t>
      </w:r>
      <w:r>
        <w:t>者简介</w:t>
      </w:r>
      <w:r>
        <w:rPr>
          <w:lang w:val="en-US" w:eastAsia="zh-CN" w:bidi="en-US"/>
        </w:rPr>
        <w:t>］</w:t>
      </w:r>
      <w:r>
        <w:t>张</w:t>
      </w:r>
      <w:r>
        <w:t xml:space="preserve"> </w:t>
      </w:r>
      <w:r>
        <w:t>瑾</w:t>
      </w:r>
      <w:r>
        <w:rPr>
          <w:sz w:val="14"/>
          <w:szCs w:val="14"/>
          <w:lang w:val="en-US" w:eastAsia="zh-CN" w:bidi="en-US"/>
        </w:rPr>
        <w:t>（</w:t>
      </w:r>
      <w:r>
        <w:rPr>
          <w:sz w:val="14"/>
          <w:szCs w:val="14"/>
          <w:lang w:val="en-US" w:eastAsia="zh-CN" w:bidi="en-US"/>
        </w:rPr>
        <w:t>1966-</w:t>
      </w:r>
      <w:r>
        <w:rPr>
          <w:sz w:val="14"/>
          <w:szCs w:val="14"/>
          <w:lang w:val="en-US" w:eastAsia="zh-CN" w:bidi="en-US"/>
        </w:rPr>
        <w:t>）</w:t>
      </w:r>
      <w:r>
        <w:rPr>
          <w:sz w:val="14"/>
          <w:szCs w:val="14"/>
          <w:lang w:val="en-US" w:eastAsia="zh-CN" w:bidi="en-US"/>
        </w:rPr>
        <w:t>,</w:t>
      </w:r>
      <w:r>
        <w:t>女，中国电子科技集团公司</w:t>
      </w:r>
      <w:r>
        <w:t xml:space="preserve"> </w:t>
      </w:r>
      <w:r>
        <w:t>第二十三研究</w:t>
      </w:r>
      <w:proofErr w:type="gramStart"/>
      <w:r>
        <w:t>薜</w:t>
      </w:r>
      <w:proofErr w:type="gramEnd"/>
      <w:r>
        <w:t>工程师</w:t>
      </w:r>
      <w:r>
        <w:t>.</w:t>
      </w:r>
    </w:p>
    <w:p w:rsidR="005740E3" w:rsidRDefault="0043194A">
      <w:pPr>
        <w:pStyle w:val="Bodytext30"/>
        <w:spacing w:line="221" w:lineRule="exact"/>
        <w:ind w:left="0"/>
        <w:jc w:val="both"/>
        <w:rPr>
          <w:sz w:val="19"/>
          <w:szCs w:val="19"/>
        </w:rPr>
      </w:pPr>
      <w:r>
        <w:t>［作者地址］上海市铁山路</w:t>
      </w:r>
      <w:r>
        <w:rPr>
          <w:sz w:val="14"/>
          <w:szCs w:val="14"/>
        </w:rPr>
        <w:t>230</w:t>
      </w:r>
      <w:r>
        <w:t>号</w:t>
      </w:r>
      <w:r>
        <w:rPr>
          <w:sz w:val="14"/>
          <w:szCs w:val="14"/>
        </w:rPr>
        <w:t xml:space="preserve">,201900 </w:t>
      </w:r>
      <w:r>
        <w:rPr>
          <w:rStyle w:val="Bodytext1"/>
        </w:rPr>
        <w:t>料</w:t>
      </w:r>
      <w:r>
        <w:rPr>
          <w:rStyle w:val="Bodytext1"/>
        </w:rPr>
        <w:t>,</w:t>
      </w:r>
      <w:r>
        <w:rPr>
          <w:rStyle w:val="Bodytext1"/>
        </w:rPr>
        <w:t>造成测试数据的误差，因而聚烯炷的样品皿应釆</w:t>
      </w:r>
      <w:r>
        <w:rPr>
          <w:rStyle w:val="Bodytext1"/>
        </w:rPr>
        <w:t xml:space="preserve"> </w:t>
      </w:r>
      <w:r>
        <w:rPr>
          <w:rStyle w:val="Bodytext1"/>
        </w:rPr>
        <w:t>用铝制的。样品皿须用丙酮擦洗</w:t>
      </w:r>
      <w:r>
        <w:rPr>
          <w:rStyle w:val="Bodytext1"/>
          <w:rFonts w:ascii="Times New Roman" w:eastAsia="Times New Roman" w:hAnsi="Times New Roman" w:cs="Times New Roman"/>
          <w:sz w:val="20"/>
          <w:szCs w:val="20"/>
        </w:rPr>
        <w:t xml:space="preserve">1 </w:t>
      </w:r>
      <w:r>
        <w:rPr>
          <w:rStyle w:val="Bodytext1"/>
          <w:rFonts w:ascii="Times New Roman" w:eastAsia="Times New Roman" w:hAnsi="Times New Roman" w:cs="Times New Roman"/>
          <w:sz w:val="20"/>
          <w:szCs w:val="20"/>
          <w:lang w:val="en-US" w:eastAsia="zh-CN" w:bidi="en-US"/>
        </w:rPr>
        <w:t>min,</w:t>
      </w:r>
      <w:r>
        <w:rPr>
          <w:rStyle w:val="Bodytext1"/>
        </w:rPr>
        <w:t>并在</w:t>
      </w:r>
      <w:r>
        <w:rPr>
          <w:rStyle w:val="Bodytext1"/>
        </w:rPr>
        <w:t xml:space="preserve"> </w:t>
      </w:r>
      <w:r>
        <w:rPr>
          <w:rStyle w:val="Bodytext1"/>
          <w:rFonts w:ascii="Times New Roman" w:eastAsia="Times New Roman" w:hAnsi="Times New Roman" w:cs="Times New Roman"/>
          <w:sz w:val="20"/>
          <w:szCs w:val="20"/>
        </w:rPr>
        <w:t>99.99%</w:t>
      </w:r>
      <w:r>
        <w:rPr>
          <w:rStyle w:val="Bodytext1"/>
        </w:rPr>
        <w:t>极其干燥的氮气流下吹干。气体转化开关</w:t>
      </w:r>
      <w:r>
        <w:rPr>
          <w:rStyle w:val="Bodytext1"/>
        </w:rPr>
        <w:t xml:space="preserve"> </w:t>
      </w:r>
      <w:r>
        <w:rPr>
          <w:rStyle w:val="Bodytext1"/>
        </w:rPr>
        <w:t>位置和差动热分析仪样品池间的距离要小，</w:t>
      </w:r>
      <w:r>
        <w:rPr>
          <w:rStyle w:val="Bodytext1"/>
        </w:rPr>
        <w:lastRenderedPageBreak/>
        <w:t>确保流</w:t>
      </w:r>
      <w:r>
        <w:rPr>
          <w:rStyle w:val="Bodytext1"/>
        </w:rPr>
        <w:t xml:space="preserve"> </w:t>
      </w:r>
      <w:r>
        <w:rPr>
          <w:rStyle w:val="Bodytext1"/>
        </w:rPr>
        <w:t>通气体充到样品皿的时间小于</w:t>
      </w:r>
      <w:r>
        <w:rPr>
          <w:rStyle w:val="Bodytext1"/>
          <w:rFonts w:ascii="Times New Roman" w:eastAsia="Times New Roman" w:hAnsi="Times New Roman" w:cs="Times New Roman"/>
          <w:sz w:val="20"/>
          <w:szCs w:val="20"/>
        </w:rPr>
        <w:t xml:space="preserve">1 </w:t>
      </w:r>
      <w:r>
        <w:rPr>
          <w:rStyle w:val="Bodytext1"/>
          <w:rFonts w:ascii="Times New Roman" w:eastAsia="Times New Roman" w:hAnsi="Times New Roman" w:cs="Times New Roman"/>
          <w:sz w:val="20"/>
          <w:szCs w:val="20"/>
          <w:lang w:val="en-US" w:eastAsia="zh-CN" w:bidi="en-US"/>
        </w:rPr>
        <w:t>min,</w:t>
      </w:r>
      <w:r>
        <w:rPr>
          <w:rStyle w:val="Bodytext1"/>
        </w:rPr>
        <w:t>调节器将气</w:t>
      </w:r>
      <w:r>
        <w:rPr>
          <w:rStyle w:val="Bodytext1"/>
        </w:rPr>
        <w:t xml:space="preserve"> </w:t>
      </w:r>
      <w:r>
        <w:rPr>
          <w:rStyle w:val="Bodytext1"/>
        </w:rPr>
        <w:t>体流速控制为</w:t>
      </w:r>
      <w:r>
        <w:rPr>
          <w:rStyle w:val="Bodytext1"/>
          <w:rFonts w:ascii="Times New Roman" w:eastAsia="Times New Roman" w:hAnsi="Times New Roman" w:cs="Times New Roman"/>
          <w:sz w:val="20"/>
          <w:szCs w:val="20"/>
        </w:rPr>
        <w:t xml:space="preserve">50 </w:t>
      </w:r>
      <w:r>
        <w:rPr>
          <w:rStyle w:val="Bodytext1"/>
          <w:rFonts w:ascii="Times New Roman" w:eastAsia="Times New Roman" w:hAnsi="Times New Roman" w:cs="Times New Roman"/>
          <w:sz w:val="20"/>
          <w:szCs w:val="20"/>
          <w:lang w:val="en-US" w:eastAsia="zh-CN" w:bidi="en-US"/>
        </w:rPr>
        <w:t>mL/min</w:t>
      </w:r>
      <w:r>
        <w:rPr>
          <w:rStyle w:val="Bodytext1"/>
          <w:lang w:val="en-US" w:eastAsia="zh-CN" w:bidi="en-US"/>
        </w:rPr>
        <w:t>。</w:t>
      </w:r>
      <w:r>
        <w:rPr>
          <w:rStyle w:val="Bodytext1"/>
        </w:rPr>
        <w:t>可用旋转流量计或皂</w:t>
      </w:r>
      <w:r>
        <w:rPr>
          <w:rStyle w:val="Bodytext1"/>
        </w:rPr>
        <w:t xml:space="preserve"> </w:t>
      </w:r>
      <w:r>
        <w:rPr>
          <w:rStyle w:val="Bodytext1"/>
        </w:rPr>
        <w:t>膜流量计校准流通气体的流量。</w:t>
      </w:r>
    </w:p>
    <w:p w:rsidR="005740E3" w:rsidRDefault="0043194A">
      <w:pPr>
        <w:pStyle w:val="Bodytext10"/>
        <w:spacing w:after="80" w:line="317" w:lineRule="exact"/>
        <w:ind w:firstLine="440"/>
        <w:jc w:val="both"/>
      </w:pPr>
      <w:r>
        <w:rPr>
          <w:rFonts w:ascii="Times New Roman" w:eastAsia="Times New Roman" w:hAnsi="Times New Roman" w:cs="Times New Roman"/>
          <w:sz w:val="20"/>
          <w:szCs w:val="20"/>
          <w:lang w:val="en-US" w:eastAsia="zh-CN" w:bidi="en-US"/>
        </w:rPr>
        <w:t>OIT</w:t>
      </w:r>
      <w:r>
        <w:t>测试时制备的试样有两种：</w:t>
      </w:r>
      <w:r>
        <w:rPr>
          <w:rFonts w:ascii="Times New Roman" w:eastAsia="Times New Roman" w:hAnsi="Times New Roman" w:cs="Times New Roman"/>
          <w:sz w:val="20"/>
          <w:szCs w:val="20"/>
          <w:lang w:val="en-US" w:eastAsia="zh-CN" w:bidi="en-US"/>
        </w:rPr>
        <w:t>a.</w:t>
      </w:r>
      <w:r>
        <w:t>试样</w:t>
      </w:r>
      <w:r>
        <w:rPr>
          <w:rFonts w:ascii="Times New Roman" w:eastAsia="Times New Roman" w:hAnsi="Times New Roman" w:cs="Times New Roman"/>
          <w:sz w:val="20"/>
          <w:szCs w:val="20"/>
        </w:rPr>
        <w:t>1</w:t>
      </w:r>
      <w:r>
        <w:t>是电</w:t>
      </w:r>
      <w:r>
        <w:t xml:space="preserve"> </w:t>
      </w:r>
      <w:r>
        <w:t>缆和光缆的绝缘或护套，可用于测量材料内在的氧</w:t>
      </w:r>
      <w:r>
        <w:t xml:space="preserve"> </w:t>
      </w:r>
      <w:r>
        <w:t>化稳定性</w:t>
      </w:r>
      <w:r>
        <w:t>;</w:t>
      </w:r>
      <w:r>
        <w:rPr>
          <w:rFonts w:ascii="Times New Roman" w:eastAsia="Times New Roman" w:hAnsi="Times New Roman" w:cs="Times New Roman"/>
          <w:sz w:val="20"/>
          <w:szCs w:val="20"/>
          <w:lang w:val="en-US" w:eastAsia="zh-CN" w:bidi="en-US"/>
        </w:rPr>
        <w:t>b.</w:t>
      </w:r>
      <w:r>
        <w:t>试样</w:t>
      </w:r>
      <w:r>
        <w:rPr>
          <w:rFonts w:ascii="Times New Roman" w:eastAsia="Times New Roman" w:hAnsi="Times New Roman" w:cs="Times New Roman"/>
          <w:sz w:val="20"/>
          <w:szCs w:val="20"/>
        </w:rPr>
        <w:t>2</w:t>
      </w:r>
      <w:r>
        <w:t>是带铜导体的绝缘，不仅可用于</w:t>
      </w:r>
      <w:r>
        <w:t xml:space="preserve"> </w:t>
      </w:r>
      <w:r>
        <w:t>测量材料氧化稳定性，而且还可测量添加剂的惰化</w:t>
      </w:r>
      <w:r>
        <w:t xml:space="preserve"> </w:t>
      </w:r>
      <w:r>
        <w:t>效应。试样的质量为</w:t>
      </w:r>
      <w:r>
        <w:rPr>
          <w:sz w:val="20"/>
          <w:szCs w:val="20"/>
        </w:rPr>
        <w:t>（</w:t>
      </w:r>
      <w:r>
        <w:rPr>
          <w:rFonts w:ascii="Times New Roman" w:eastAsia="Times New Roman" w:hAnsi="Times New Roman" w:cs="Times New Roman"/>
          <w:sz w:val="20"/>
          <w:szCs w:val="20"/>
        </w:rPr>
        <w:t>5</w:t>
      </w:r>
      <w:r>
        <w:t>士</w:t>
      </w:r>
      <w:r>
        <w:rPr>
          <w:rFonts w:ascii="Times New Roman" w:eastAsia="Times New Roman" w:hAnsi="Times New Roman" w:cs="Times New Roman"/>
          <w:sz w:val="20"/>
          <w:szCs w:val="20"/>
          <w:lang w:val="en-US" w:eastAsia="zh-CN" w:bidi="en-US"/>
        </w:rPr>
        <w:t>0.1） mg,</w:t>
      </w:r>
      <w:r>
        <w:t>应用干净的棉</w:t>
      </w:r>
      <w:r>
        <w:t xml:space="preserve"> </w:t>
      </w:r>
      <w:r>
        <w:t>布或纸巾擦净。由于材料中的抗氧化稳定剂较易溶</w:t>
      </w:r>
      <w:r>
        <w:t xml:space="preserve"> </w:t>
      </w:r>
      <w:r>
        <w:t>解于有机溶剂，因此不可用有机溶剂擦拭试样，否则</w:t>
      </w:r>
      <w:r>
        <w:t xml:space="preserve"> </w:t>
      </w:r>
      <w:r>
        <w:t>残留在试样上的有机溶剂可能会改变材料的</w:t>
      </w:r>
      <w:r>
        <w:rPr>
          <w:rFonts w:ascii="Times New Roman" w:eastAsia="Times New Roman" w:hAnsi="Times New Roman" w:cs="Times New Roman"/>
          <w:sz w:val="20"/>
          <w:szCs w:val="20"/>
          <w:lang w:val="en-US" w:eastAsia="zh-CN" w:bidi="en-US"/>
        </w:rPr>
        <w:t>OIT</w:t>
      </w:r>
      <w:r>
        <w:rPr>
          <w:lang w:val="en-US" w:eastAsia="zh-CN" w:bidi="en-US"/>
        </w:rPr>
        <w:t>。</w:t>
      </w:r>
    </w:p>
    <w:p w:rsidR="005740E3" w:rsidRDefault="0043194A">
      <w:pPr>
        <w:pStyle w:val="Heading410"/>
        <w:keepNext/>
        <w:keepLines/>
        <w:spacing w:line="331" w:lineRule="auto"/>
        <w:jc w:val="both"/>
      </w:pPr>
      <w:bookmarkStart w:id="19" w:name="bookmark18"/>
      <w:bookmarkStart w:id="20" w:name="bookmark19"/>
      <w:bookmarkStart w:id="21" w:name="bookmark20"/>
      <w:r>
        <w:rPr>
          <w:rFonts w:ascii="Times New Roman" w:eastAsia="Times New Roman" w:hAnsi="Times New Roman" w:cs="Times New Roman"/>
          <w:sz w:val="20"/>
          <w:szCs w:val="20"/>
          <w:lang w:val="en-US" w:eastAsia="zh-CN" w:bidi="en-US"/>
        </w:rPr>
        <w:t>1.2</w:t>
      </w:r>
      <w:r>
        <w:t>测试步骤</w:t>
      </w:r>
      <w:bookmarkEnd w:id="19"/>
      <w:bookmarkEnd w:id="20"/>
      <w:bookmarkEnd w:id="21"/>
    </w:p>
    <w:p w:rsidR="005740E3" w:rsidRDefault="0043194A">
      <w:pPr>
        <w:pStyle w:val="Bodytext10"/>
        <w:spacing w:after="100" w:line="317" w:lineRule="exact"/>
        <w:ind w:firstLine="440"/>
        <w:jc w:val="both"/>
      </w:pPr>
      <w:r>
        <w:t>采用</w:t>
      </w:r>
      <w:r>
        <w:rPr>
          <w:rFonts w:ascii="Times New Roman" w:eastAsia="Times New Roman" w:hAnsi="Times New Roman" w:cs="Times New Roman"/>
          <w:sz w:val="20"/>
          <w:szCs w:val="20"/>
          <w:lang w:val="en-US" w:eastAsia="zh-CN" w:bidi="en-US"/>
        </w:rPr>
        <w:t>DSC</w:t>
      </w:r>
      <w:r>
        <w:t>进行</w:t>
      </w:r>
      <w:r>
        <w:rPr>
          <w:rFonts w:ascii="Times New Roman" w:eastAsia="Times New Roman" w:hAnsi="Times New Roman" w:cs="Times New Roman"/>
          <w:sz w:val="20"/>
          <w:szCs w:val="20"/>
          <w:lang w:val="en-US" w:eastAsia="zh-CN" w:bidi="en-US"/>
        </w:rPr>
        <w:t>OIT</w:t>
      </w:r>
      <w:r>
        <w:t>测试的步骤如下：</w:t>
      </w:r>
      <w:r>
        <w:rPr>
          <w:rFonts w:ascii="Times New Roman" w:eastAsia="Times New Roman" w:hAnsi="Times New Roman" w:cs="Times New Roman"/>
          <w:b/>
          <w:bCs/>
          <w:sz w:val="20"/>
          <w:szCs w:val="20"/>
          <w:lang w:val="en-US" w:eastAsia="zh-CN" w:bidi="en-US"/>
        </w:rPr>
        <w:t>a.</w:t>
      </w:r>
      <w:r>
        <w:t>将差</w:t>
      </w:r>
      <w:r>
        <w:t xml:space="preserve"> </w:t>
      </w:r>
      <w:r>
        <w:t>动热分析仪设置到待测状态</w:t>
      </w:r>
      <w:r>
        <w:t>;</w:t>
      </w:r>
      <w:r>
        <w:t>试样制备后，将放有试</w:t>
      </w:r>
      <w:r>
        <w:t xml:space="preserve"> </w:t>
      </w:r>
      <w:r>
        <w:t>样的铝杯和一个空铝杯（也可放入</w:t>
      </w:r>
      <w:r>
        <w:rPr>
          <w:rFonts w:ascii="Times New Roman" w:eastAsia="Times New Roman" w:hAnsi="Times New Roman" w:cs="Times New Roman"/>
          <w:sz w:val="20"/>
          <w:szCs w:val="20"/>
        </w:rPr>
        <w:t xml:space="preserve">4~5 </w:t>
      </w:r>
      <w:r>
        <w:rPr>
          <w:rFonts w:ascii="Times New Roman" w:eastAsia="Times New Roman" w:hAnsi="Times New Roman" w:cs="Times New Roman"/>
          <w:sz w:val="20"/>
          <w:szCs w:val="20"/>
          <w:lang w:val="en-US" w:eastAsia="zh-CN" w:bidi="en-US"/>
        </w:rPr>
        <w:t>mg</w:t>
      </w:r>
      <w:r>
        <w:t>的惰性</w:t>
      </w:r>
      <w:r>
        <w:t xml:space="preserve"> </w:t>
      </w:r>
      <w:r>
        <w:t>物质</w:t>
      </w:r>
      <w:r>
        <w:rPr>
          <w:rFonts w:ascii="Times New Roman" w:eastAsia="Times New Roman" w:hAnsi="Times New Roman" w:cs="Times New Roman"/>
          <w:sz w:val="20"/>
          <w:szCs w:val="20"/>
          <w:lang w:val="en-US" w:eastAsia="zh-CN" w:bidi="en-US"/>
        </w:rPr>
        <w:t>a-Al</w:t>
      </w:r>
      <w:r>
        <w:rPr>
          <w:rFonts w:ascii="Times New Roman" w:eastAsia="Times New Roman" w:hAnsi="Times New Roman" w:cs="Times New Roman"/>
          <w:sz w:val="20"/>
          <w:szCs w:val="20"/>
          <w:vertAlign w:val="subscript"/>
          <w:lang w:val="en-US" w:eastAsia="zh-CN" w:bidi="en-US"/>
        </w:rPr>
        <w:t>2</w:t>
      </w:r>
      <w:r>
        <w:rPr>
          <w:rFonts w:ascii="Times New Roman" w:eastAsia="Times New Roman" w:hAnsi="Times New Roman" w:cs="Times New Roman"/>
          <w:sz w:val="20"/>
          <w:szCs w:val="20"/>
          <w:lang w:val="en-US" w:eastAsia="zh-CN" w:bidi="en-US"/>
        </w:rPr>
        <w:t>O</w:t>
      </w:r>
      <w:r>
        <w:rPr>
          <w:rFonts w:ascii="Times New Roman" w:eastAsia="Times New Roman" w:hAnsi="Times New Roman" w:cs="Times New Roman"/>
          <w:sz w:val="20"/>
          <w:szCs w:val="20"/>
          <w:vertAlign w:val="subscript"/>
          <w:lang w:val="en-US" w:eastAsia="zh-CN" w:bidi="en-US"/>
        </w:rPr>
        <w:t>3</w:t>
      </w:r>
      <w:r>
        <w:rPr>
          <w:rFonts w:ascii="Times New Roman" w:eastAsia="Times New Roman" w:hAnsi="Times New Roman" w:cs="Times New Roman"/>
          <w:sz w:val="20"/>
          <w:szCs w:val="20"/>
          <w:lang w:val="en-US" w:eastAsia="zh-CN" w:bidi="en-US"/>
        </w:rPr>
        <w:t>）</w:t>
      </w:r>
      <w:r>
        <w:t>分别放入差动热分析仪的两个样品</w:t>
      </w:r>
      <w:r>
        <w:t xml:space="preserve"> </w:t>
      </w:r>
      <w:r>
        <w:t>支架上。</w:t>
      </w:r>
      <w:r>
        <w:rPr>
          <w:rFonts w:ascii="Times New Roman" w:eastAsia="Times New Roman" w:hAnsi="Times New Roman" w:cs="Times New Roman"/>
          <w:sz w:val="20"/>
          <w:szCs w:val="20"/>
          <w:lang w:val="en-US" w:eastAsia="zh-CN" w:bidi="en-US"/>
        </w:rPr>
        <w:t>b.</w:t>
      </w:r>
      <w:r>
        <w:t>升温前，试样应在氮气气氛下预先吹洗</w:t>
      </w:r>
      <w:r>
        <w:t xml:space="preserve"> </w:t>
      </w: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lang w:val="en-US" w:eastAsia="zh-CN" w:bidi="en-US"/>
        </w:rPr>
        <w:t>min,</w:t>
      </w:r>
      <w:r>
        <w:t>氮气流速为</w:t>
      </w:r>
      <w:r>
        <w:rPr>
          <w:sz w:val="20"/>
          <w:szCs w:val="20"/>
        </w:rPr>
        <w:t>（</w:t>
      </w:r>
      <w:r>
        <w:rPr>
          <w:rFonts w:ascii="Times New Roman" w:eastAsia="Times New Roman" w:hAnsi="Times New Roman" w:cs="Times New Roman"/>
          <w:sz w:val="20"/>
          <w:szCs w:val="20"/>
        </w:rPr>
        <w:t xml:space="preserve">50±5） </w:t>
      </w:r>
      <w:r>
        <w:rPr>
          <w:rFonts w:ascii="Times New Roman" w:eastAsia="Times New Roman" w:hAnsi="Times New Roman" w:cs="Times New Roman"/>
          <w:sz w:val="20"/>
          <w:szCs w:val="20"/>
          <w:lang w:val="en-US" w:eastAsia="zh-CN" w:bidi="en-US"/>
        </w:rPr>
        <w:t>mL/min</w:t>
      </w:r>
      <w:r>
        <w:rPr>
          <w:sz w:val="20"/>
          <w:szCs w:val="20"/>
          <w:lang w:val="en-US" w:eastAsia="zh-CN" w:bidi="en-US"/>
        </w:rPr>
        <w:t>；</w:t>
      </w:r>
      <w:r>
        <w:t>调整差动热分</w:t>
      </w:r>
      <w:r>
        <w:t xml:space="preserve"> </w:t>
      </w:r>
      <w:r>
        <w:t>析仪的灵敏度，使各个阶段的</w:t>
      </w:r>
      <w:r>
        <w:rPr>
          <w:rFonts w:ascii="Times New Roman" w:eastAsia="Times New Roman" w:hAnsi="Times New Roman" w:cs="Times New Roman"/>
          <w:sz w:val="20"/>
          <w:szCs w:val="20"/>
          <w:lang w:val="en-US" w:eastAsia="zh-CN" w:bidi="en-US"/>
        </w:rPr>
        <w:t>DSC</w:t>
      </w:r>
      <w:r>
        <w:t>曲线的纵坐标差</w:t>
      </w:r>
      <w:r>
        <w:t xml:space="preserve"> </w:t>
      </w:r>
      <w:r>
        <w:t>不小于差动热分析仪记录装置满量程的</w:t>
      </w:r>
      <w:r>
        <w:rPr>
          <w:rFonts w:ascii="Times New Roman" w:eastAsia="Times New Roman" w:hAnsi="Times New Roman" w:cs="Times New Roman"/>
          <w:sz w:val="20"/>
          <w:szCs w:val="20"/>
        </w:rPr>
        <w:t>10%</w:t>
      </w:r>
      <w:r>
        <w:t>。</w:t>
      </w:r>
      <w:r>
        <w:rPr>
          <w:rFonts w:ascii="Times New Roman" w:eastAsia="Times New Roman" w:hAnsi="Times New Roman" w:cs="Times New Roman"/>
          <w:sz w:val="20"/>
          <w:szCs w:val="20"/>
          <w:lang w:val="en-US" w:eastAsia="zh-CN" w:bidi="en-US"/>
        </w:rPr>
        <w:t xml:space="preserve">C. </w:t>
      </w:r>
      <w:r>
        <w:t>在氮气流气氛下试样以</w:t>
      </w:r>
      <w:r>
        <w:rPr>
          <w:rFonts w:ascii="Times New Roman" w:eastAsia="Times New Roman" w:hAnsi="Times New Roman" w:cs="Times New Roman"/>
          <w:sz w:val="20"/>
          <w:szCs w:val="20"/>
        </w:rPr>
        <w:t xml:space="preserve">20 </w:t>
      </w:r>
      <w:r>
        <w:rPr>
          <w:rFonts w:ascii="Times New Roman" w:eastAsia="Times New Roman" w:hAnsi="Times New Roman" w:cs="Times New Roman"/>
          <w:sz w:val="20"/>
          <w:szCs w:val="20"/>
          <w:lang w:val="en-US" w:eastAsia="zh-CN" w:bidi="en-US"/>
        </w:rPr>
        <w:t>'C/min</w:t>
      </w:r>
      <w:r>
        <w:t>的速率从室温升</w:t>
      </w:r>
      <w:r>
        <w:t xml:space="preserve"> </w:t>
      </w:r>
      <w:r>
        <w:t>到测试温度（通常为</w:t>
      </w:r>
      <w:r>
        <w:rPr>
          <w:rFonts w:ascii="Times New Roman" w:eastAsia="Times New Roman" w:hAnsi="Times New Roman" w:cs="Times New Roman"/>
          <w:sz w:val="20"/>
          <w:szCs w:val="20"/>
        </w:rPr>
        <w:t xml:space="preserve">200 </w:t>
      </w:r>
      <w:r>
        <w:rPr>
          <w:rFonts w:ascii="Times New Roman" w:eastAsia="Times New Roman" w:hAnsi="Times New Roman" w:cs="Times New Roman"/>
          <w:sz w:val="20"/>
          <w:szCs w:val="20"/>
          <w:lang w:val="en-US" w:eastAsia="zh-CN" w:bidi="en-US"/>
        </w:rPr>
        <w:t>C</w:t>
      </w:r>
      <w:proofErr w:type="gramStart"/>
      <w:r>
        <w:rPr>
          <w:rFonts w:ascii="Times New Roman" w:eastAsia="Times New Roman" w:hAnsi="Times New Roman" w:cs="Times New Roman"/>
          <w:sz w:val="20"/>
          <w:szCs w:val="20"/>
          <w:lang w:val="en-US" w:eastAsia="zh-CN" w:bidi="en-US"/>
        </w:rPr>
        <w:t>）,</w:t>
      </w:r>
      <w:r>
        <w:t>并恒定在该温度</w:t>
      </w:r>
      <w:proofErr w:type="gramEnd"/>
      <w:r>
        <w:t>，温度</w:t>
      </w:r>
      <w:r>
        <w:t xml:space="preserve"> </w:t>
      </w:r>
      <w:r>
        <w:t>波动范围应在士</w:t>
      </w:r>
      <w:r>
        <w:rPr>
          <w:rFonts w:ascii="Times New Roman" w:eastAsia="Times New Roman" w:hAnsi="Times New Roman" w:cs="Times New Roman"/>
          <w:sz w:val="20"/>
          <w:szCs w:val="20"/>
          <w:lang w:val="en-US" w:eastAsia="zh-CN" w:bidi="en-US"/>
        </w:rPr>
        <w:t>Q.3 C</w:t>
      </w:r>
      <w:r>
        <w:t>以内，平衡时间约</w:t>
      </w:r>
      <w:r>
        <w:rPr>
          <w:rFonts w:ascii="Times New Roman" w:eastAsia="Times New Roman" w:hAnsi="Times New Roman" w:cs="Times New Roman"/>
          <w:sz w:val="20"/>
          <w:szCs w:val="20"/>
        </w:rPr>
        <w:t xml:space="preserve">10 </w:t>
      </w:r>
      <w:r>
        <w:rPr>
          <w:rFonts w:ascii="Times New Roman" w:eastAsia="Times New Roman" w:hAnsi="Times New Roman" w:cs="Times New Roman"/>
          <w:sz w:val="20"/>
          <w:szCs w:val="20"/>
          <w:lang w:val="en-US" w:eastAsia="zh-CN" w:bidi="en-US"/>
        </w:rPr>
        <w:t>min,</w:t>
      </w:r>
      <w:r>
        <w:t>此</w:t>
      </w:r>
      <w:r>
        <w:t xml:space="preserve"> </w:t>
      </w:r>
      <w:r>
        <w:t>后将氮气更换成流速为</w:t>
      </w:r>
      <w:r>
        <w:rPr>
          <w:sz w:val="20"/>
          <w:szCs w:val="20"/>
        </w:rPr>
        <w:t>（</w:t>
      </w:r>
      <w:r>
        <w:rPr>
          <w:rFonts w:ascii="Times New Roman" w:eastAsia="Times New Roman" w:hAnsi="Times New Roman" w:cs="Times New Roman"/>
          <w:sz w:val="20"/>
          <w:szCs w:val="20"/>
        </w:rPr>
        <w:t>50</w:t>
      </w:r>
      <w:r>
        <w:t>士</w:t>
      </w: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lang w:val="en-US" w:eastAsia="zh-CN" w:bidi="en-US"/>
        </w:rPr>
        <w:t>mL/min</w:t>
      </w:r>
      <w:r>
        <w:t>的</w:t>
      </w:r>
      <w:r>
        <w:rPr>
          <w:rFonts w:ascii="Times New Roman" w:eastAsia="Times New Roman" w:hAnsi="Times New Roman" w:cs="Times New Roman"/>
          <w:sz w:val="20"/>
          <w:szCs w:val="20"/>
          <w:lang w:val="en-US" w:eastAsia="zh-CN" w:bidi="en-US"/>
        </w:rPr>
        <w:t xml:space="preserve">99. </w:t>
      </w:r>
      <w:r>
        <w:rPr>
          <w:rFonts w:ascii="Times New Roman" w:eastAsia="Times New Roman" w:hAnsi="Times New Roman" w:cs="Times New Roman"/>
          <w:sz w:val="20"/>
          <w:szCs w:val="20"/>
        </w:rPr>
        <w:t xml:space="preserve">5% </w:t>
      </w:r>
      <w:r>
        <w:t>极</w:t>
      </w:r>
      <w:r>
        <w:lastRenderedPageBreak/>
        <w:t>其干燥的氧气，并把氮气一氧气流的切换点作为</w:t>
      </w:r>
      <w:r>
        <w:t xml:space="preserve"> </w:t>
      </w:r>
      <w:r>
        <w:t>测试记录的起始点。</w:t>
      </w:r>
      <w:r>
        <w:rPr>
          <w:rFonts w:ascii="Times New Roman" w:eastAsia="Times New Roman" w:hAnsi="Times New Roman" w:cs="Times New Roman"/>
          <w:sz w:val="20"/>
          <w:szCs w:val="20"/>
          <w:lang w:val="en-US" w:eastAsia="zh-CN" w:bidi="en-US"/>
        </w:rPr>
        <w:t>d.</w:t>
      </w:r>
      <w:r>
        <w:t>待</w:t>
      </w:r>
      <w:r>
        <w:rPr>
          <w:rFonts w:ascii="Times New Roman" w:eastAsia="Times New Roman" w:hAnsi="Times New Roman" w:cs="Times New Roman"/>
          <w:sz w:val="20"/>
          <w:szCs w:val="20"/>
          <w:lang w:val="en-US" w:eastAsia="zh-CN" w:bidi="en-US"/>
        </w:rPr>
        <w:t>DSC</w:t>
      </w:r>
      <w:r>
        <w:t>曲线达极大放热速</w:t>
      </w:r>
      <w:r>
        <w:t xml:space="preserve"> </w:t>
      </w:r>
      <w:r>
        <w:t>率（即</w:t>
      </w:r>
      <w:r>
        <w:rPr>
          <w:rFonts w:ascii="Times New Roman" w:eastAsia="Times New Roman" w:hAnsi="Times New Roman" w:cs="Times New Roman"/>
          <w:sz w:val="20"/>
          <w:szCs w:val="20"/>
          <w:lang w:val="en-US" w:eastAsia="zh-CN" w:bidi="en-US"/>
        </w:rPr>
        <w:t>DSC</w:t>
      </w:r>
      <w:r>
        <w:t>曲线的拐点）后至少再持续</w:t>
      </w:r>
      <w:r>
        <w:rPr>
          <w:rFonts w:ascii="Times New Roman" w:eastAsia="Times New Roman" w:hAnsi="Times New Roman" w:cs="Times New Roman"/>
          <w:sz w:val="20"/>
          <w:szCs w:val="20"/>
        </w:rPr>
        <w:t xml:space="preserve">2 </w:t>
      </w:r>
      <w:r>
        <w:rPr>
          <w:rFonts w:ascii="Times New Roman" w:eastAsia="Times New Roman" w:hAnsi="Times New Roman" w:cs="Times New Roman"/>
          <w:sz w:val="20"/>
          <w:szCs w:val="20"/>
          <w:lang w:val="en-US" w:eastAsia="zh-CN" w:bidi="en-US"/>
        </w:rPr>
        <w:t>min</w:t>
      </w:r>
      <w:r>
        <w:t>（即直</w:t>
      </w:r>
      <w:r>
        <w:t xml:space="preserve"> </w:t>
      </w:r>
      <w:r>
        <w:t>到呈现明显放热效应），记录上述过程完整的</w:t>
      </w:r>
      <w:r>
        <w:rPr>
          <w:rFonts w:ascii="Times New Roman" w:eastAsia="Times New Roman" w:hAnsi="Times New Roman" w:cs="Times New Roman"/>
          <w:sz w:val="20"/>
          <w:szCs w:val="20"/>
          <w:lang w:val="en-US" w:eastAsia="zh-CN" w:bidi="en-US"/>
        </w:rPr>
        <w:t xml:space="preserve">DSC </w:t>
      </w:r>
      <w:r>
        <w:t>曲线。</w:t>
      </w:r>
      <w:r>
        <w:rPr>
          <w:rFonts w:ascii="Times New Roman" w:eastAsia="Times New Roman" w:hAnsi="Times New Roman" w:cs="Times New Roman"/>
          <w:sz w:val="20"/>
          <w:szCs w:val="20"/>
          <w:lang w:val="en-US" w:eastAsia="zh-CN" w:bidi="en-US"/>
        </w:rPr>
        <w:t>e.</w:t>
      </w:r>
      <w:r>
        <w:t>测试完成后，将气体选择开关切换成氮气，</w:t>
      </w:r>
      <w:r>
        <w:t xml:space="preserve"> </w:t>
      </w:r>
      <w:r>
        <w:t>待差动热分析仪冷却到室温。如需接着做第二批测</w:t>
      </w:r>
      <w:r>
        <w:t xml:space="preserve"> </w:t>
      </w:r>
      <w:r>
        <w:t>试，只要将差动热分析仪冷却到</w:t>
      </w:r>
      <w:r>
        <w:rPr>
          <w:rFonts w:ascii="Times New Roman" w:eastAsia="Times New Roman" w:hAnsi="Times New Roman" w:cs="Times New Roman"/>
          <w:sz w:val="20"/>
          <w:szCs w:val="20"/>
        </w:rPr>
        <w:t xml:space="preserve">60 </w:t>
      </w:r>
      <w:r>
        <w:rPr>
          <w:rFonts w:ascii="Times New Roman" w:eastAsia="Times New Roman" w:hAnsi="Times New Roman" w:cs="Times New Roman"/>
          <w:sz w:val="20"/>
          <w:szCs w:val="20"/>
          <w:lang w:val="en-US" w:eastAsia="zh-CN" w:bidi="en-US"/>
        </w:rPr>
        <w:t>°C</w:t>
      </w:r>
      <w:r>
        <w:t>以下即可。测</w:t>
      </w:r>
      <w:r>
        <w:t xml:space="preserve"> </w:t>
      </w:r>
      <w:r>
        <w:t>试结束后</w:t>
      </w:r>
      <w:r>
        <w:t>,</w:t>
      </w:r>
      <w:r>
        <w:t>还应将</w:t>
      </w:r>
      <w:r>
        <w:rPr>
          <w:rFonts w:ascii="Times New Roman" w:eastAsia="Times New Roman" w:hAnsi="Times New Roman" w:cs="Times New Roman"/>
          <w:sz w:val="20"/>
          <w:szCs w:val="20"/>
          <w:lang w:val="en-US" w:eastAsia="zh-CN" w:bidi="en-US"/>
        </w:rPr>
        <w:t>DSC</w:t>
      </w:r>
      <w:r>
        <w:t>试样池在空气（或氧气）中升</w:t>
      </w:r>
      <w:r>
        <w:t xml:space="preserve"> </w:t>
      </w:r>
      <w:r>
        <w:t>温到</w:t>
      </w:r>
      <w:r>
        <w:rPr>
          <w:rFonts w:ascii="Times New Roman" w:eastAsia="Times New Roman" w:hAnsi="Times New Roman" w:cs="Times New Roman"/>
          <w:sz w:val="20"/>
          <w:szCs w:val="20"/>
        </w:rPr>
        <w:t xml:space="preserve">600 </w:t>
      </w:r>
      <w:r>
        <w:rPr>
          <w:rFonts w:ascii="Times New Roman" w:eastAsia="Times New Roman" w:hAnsi="Times New Roman" w:cs="Times New Roman"/>
          <w:sz w:val="20"/>
          <w:szCs w:val="20"/>
          <w:lang w:val="en-US" w:eastAsia="zh-CN" w:bidi="en-US"/>
        </w:rPr>
        <w:t>C</w:t>
      </w:r>
      <w:r>
        <w:t>并保持</w:t>
      </w: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lang w:val="en-US" w:eastAsia="zh-CN" w:bidi="en-US"/>
        </w:rPr>
        <w:t>min</w:t>
      </w:r>
      <w:r>
        <w:t>以清理其污染。</w:t>
      </w:r>
    </w:p>
    <w:p w:rsidR="005740E3" w:rsidRDefault="0043194A">
      <w:pPr>
        <w:pStyle w:val="Heading410"/>
        <w:keepNext/>
        <w:keepLines/>
        <w:spacing w:line="326" w:lineRule="auto"/>
        <w:jc w:val="both"/>
      </w:pPr>
      <w:bookmarkStart w:id="22" w:name="bookmark21"/>
      <w:bookmarkStart w:id="23" w:name="bookmark22"/>
      <w:bookmarkStart w:id="24" w:name="bookmark23"/>
      <w:r>
        <w:rPr>
          <w:rFonts w:ascii="Times New Roman" w:eastAsia="Times New Roman" w:hAnsi="Times New Roman" w:cs="Times New Roman"/>
          <w:sz w:val="20"/>
          <w:szCs w:val="20"/>
          <w:lang w:val="en-US" w:eastAsia="zh-CN" w:bidi="en-US"/>
        </w:rPr>
        <w:t>1.3 OIT</w:t>
      </w:r>
      <w:r>
        <w:t>的测试</w:t>
      </w:r>
      <w:bookmarkEnd w:id="22"/>
      <w:bookmarkEnd w:id="23"/>
      <w:bookmarkEnd w:id="24"/>
    </w:p>
    <w:p w:rsidR="005740E3" w:rsidRDefault="0043194A">
      <w:pPr>
        <w:pStyle w:val="Bodytext10"/>
        <w:spacing w:after="100" w:line="312" w:lineRule="exact"/>
        <w:ind w:firstLine="420"/>
        <w:jc w:val="both"/>
      </w:pPr>
      <w:r>
        <w:t>一般有三种方法可获得</w:t>
      </w:r>
      <w:r>
        <w:rPr>
          <w:rFonts w:ascii="Times New Roman" w:eastAsia="Times New Roman" w:hAnsi="Times New Roman" w:cs="Times New Roman"/>
          <w:sz w:val="20"/>
          <w:szCs w:val="20"/>
          <w:lang w:val="en-US" w:eastAsia="zh-CN" w:bidi="en-US"/>
        </w:rPr>
        <w:t>OIT</w:t>
      </w:r>
      <w:r>
        <w:t>测试数据：</w:t>
      </w:r>
      <w:r>
        <w:rPr>
          <w:rFonts w:ascii="Times New Roman" w:eastAsia="Times New Roman" w:hAnsi="Times New Roman" w:cs="Times New Roman"/>
          <w:sz w:val="20"/>
          <w:szCs w:val="20"/>
          <w:lang w:val="en-US" w:eastAsia="zh-CN" w:bidi="en-US"/>
        </w:rPr>
        <w:t>a.</w:t>
      </w:r>
      <w:r>
        <w:t>切线</w:t>
      </w:r>
      <w:r>
        <w:t xml:space="preserve"> </w:t>
      </w:r>
      <w:r>
        <w:t>分析法，如图</w:t>
      </w:r>
      <w:r>
        <w:rPr>
          <w:rFonts w:ascii="Times New Roman" w:eastAsia="Times New Roman" w:hAnsi="Times New Roman" w:cs="Times New Roman"/>
          <w:sz w:val="20"/>
          <w:szCs w:val="20"/>
        </w:rPr>
        <w:t>1</w:t>
      </w:r>
      <w:r>
        <w:t>所示。将温度恒定阶段的</w:t>
      </w:r>
      <w:r>
        <w:rPr>
          <w:rFonts w:ascii="Times New Roman" w:eastAsia="Times New Roman" w:hAnsi="Times New Roman" w:cs="Times New Roman"/>
          <w:sz w:val="20"/>
          <w:szCs w:val="20"/>
          <w:lang w:val="en-US" w:eastAsia="zh-CN" w:bidi="en-US"/>
        </w:rPr>
        <w:t>DSC</w:t>
      </w:r>
      <w:r>
        <w:t>曲线</w:t>
      </w:r>
      <w:r>
        <w:t xml:space="preserve"> </w:t>
      </w:r>
      <w:r>
        <w:t>沿水平方向延长与放热峰下降沿的最大斜率点处的</w:t>
      </w:r>
      <w:r>
        <w:t xml:space="preserve"> </w:t>
      </w:r>
      <w:r>
        <w:t>切线相交，获得试样氧化反应的起始时间，从而计算</w:t>
      </w:r>
      <w:r>
        <w:t xml:space="preserve"> </w:t>
      </w:r>
      <w:r>
        <w:t>出</w:t>
      </w:r>
      <w:r>
        <w:rPr>
          <w:rFonts w:ascii="Times New Roman" w:eastAsia="Times New Roman" w:hAnsi="Times New Roman" w:cs="Times New Roman"/>
          <w:sz w:val="20"/>
          <w:szCs w:val="20"/>
          <w:lang w:val="en-US" w:eastAsia="zh-CN" w:bidi="en-US"/>
        </w:rPr>
        <w:t>OIT</w:t>
      </w:r>
      <w:r>
        <w:rPr>
          <w:lang w:val="en-US" w:eastAsia="zh-CN" w:bidi="en-US"/>
        </w:rPr>
        <w:t>。</w:t>
      </w:r>
      <w:r>
        <w:rPr>
          <w:rFonts w:ascii="Times New Roman" w:eastAsia="Times New Roman" w:hAnsi="Times New Roman" w:cs="Times New Roman"/>
          <w:sz w:val="20"/>
          <w:szCs w:val="20"/>
          <w:lang w:val="en-US" w:eastAsia="zh-CN" w:bidi="en-US"/>
        </w:rPr>
        <w:t>b.</w:t>
      </w:r>
      <w:r>
        <w:t>固定离距法。如果放热峰的下降沿较</w:t>
      </w:r>
      <w:r>
        <w:t xml:space="preserve"> </w:t>
      </w:r>
      <w:r>
        <w:t>缓慢，可使用固定离距法计算</w:t>
      </w:r>
      <w:r>
        <w:rPr>
          <w:rFonts w:ascii="Times New Roman" w:eastAsia="Times New Roman" w:hAnsi="Times New Roman" w:cs="Times New Roman"/>
          <w:sz w:val="20"/>
          <w:szCs w:val="20"/>
          <w:lang w:val="en-US" w:eastAsia="zh-CN" w:bidi="en-US"/>
        </w:rPr>
        <w:t>OIT</w:t>
      </w:r>
      <w:r>
        <w:rPr>
          <w:lang w:val="en-US" w:eastAsia="zh-CN" w:bidi="en-US"/>
        </w:rPr>
        <w:t>。</w:t>
      </w:r>
      <w:r>
        <w:t>在低于距离温</w:t>
      </w:r>
      <w:r>
        <w:t xml:space="preserve"> </w:t>
      </w:r>
      <w:r>
        <w:t>度恒定阶段的</w:t>
      </w:r>
      <w:r>
        <w:rPr>
          <w:rFonts w:ascii="Times New Roman" w:eastAsia="Times New Roman" w:hAnsi="Times New Roman" w:cs="Times New Roman"/>
          <w:sz w:val="20"/>
          <w:szCs w:val="20"/>
          <w:lang w:val="en-US" w:eastAsia="zh-CN" w:bidi="en-US"/>
        </w:rPr>
        <w:t>DSC</w:t>
      </w:r>
      <w:r>
        <w:t>曲线相对应的热流量</w:t>
      </w:r>
      <w:r>
        <w:rPr>
          <w:rFonts w:ascii="Times New Roman" w:eastAsia="Times New Roman" w:hAnsi="Times New Roman" w:cs="Times New Roman"/>
          <w:sz w:val="20"/>
          <w:szCs w:val="20"/>
          <w:lang w:val="en-US" w:eastAsia="zh-CN" w:bidi="en-US"/>
        </w:rPr>
        <w:t>Q</w:t>
      </w:r>
      <w:r>
        <w:t>值</w:t>
      </w:r>
      <w:r>
        <w:rPr>
          <w:rFonts w:ascii="Times New Roman" w:eastAsia="Times New Roman" w:hAnsi="Times New Roman" w:cs="Times New Roman"/>
          <w:sz w:val="20"/>
          <w:szCs w:val="20"/>
          <w:lang w:val="en-US" w:eastAsia="zh-CN" w:bidi="en-US"/>
        </w:rPr>
        <w:t xml:space="preserve">0. </w:t>
      </w:r>
      <w:r>
        <w:rPr>
          <w:rFonts w:ascii="Times New Roman" w:eastAsia="Times New Roman" w:hAnsi="Times New Roman" w:cs="Times New Roman"/>
          <w:sz w:val="20"/>
          <w:szCs w:val="20"/>
        </w:rPr>
        <w:t xml:space="preserve">05 </w:t>
      </w:r>
      <w:r>
        <w:rPr>
          <w:rFonts w:ascii="Times New Roman" w:eastAsia="Times New Roman" w:hAnsi="Times New Roman" w:cs="Times New Roman"/>
          <w:sz w:val="20"/>
          <w:szCs w:val="20"/>
          <w:lang w:val="en-US" w:eastAsia="zh-CN" w:bidi="en-US"/>
        </w:rPr>
        <w:t>W/g</w:t>
      </w:r>
      <w:r>
        <w:t>处（或预定的其它值）画一平行于横轴的基准</w:t>
      </w:r>
      <w:r>
        <w:t xml:space="preserve"> </w:t>
      </w:r>
      <w:r>
        <w:t>线，该线与放热峰曲线的交点为氧化反应起始点，如</w:t>
      </w:r>
      <w:r>
        <w:t xml:space="preserve"> </w:t>
      </w:r>
      <w:r>
        <w:t>图</w:t>
      </w:r>
      <w:r>
        <w:rPr>
          <w:rFonts w:ascii="Times New Roman" w:eastAsia="Times New Roman" w:hAnsi="Times New Roman" w:cs="Times New Roman"/>
          <w:sz w:val="20"/>
          <w:szCs w:val="20"/>
        </w:rPr>
        <w:t>2</w:t>
      </w:r>
      <w:r>
        <w:t>所示。图</w:t>
      </w:r>
      <w:r>
        <w:rPr>
          <w:rFonts w:ascii="Times New Roman" w:eastAsia="Times New Roman" w:hAnsi="Times New Roman" w:cs="Times New Roman"/>
          <w:sz w:val="20"/>
          <w:szCs w:val="20"/>
        </w:rPr>
        <w:t>1</w:t>
      </w:r>
      <w:r>
        <w:t>和图</w:t>
      </w:r>
      <w:r>
        <w:rPr>
          <w:rFonts w:ascii="Times New Roman" w:eastAsia="Times New Roman" w:hAnsi="Times New Roman" w:cs="Times New Roman"/>
          <w:sz w:val="20"/>
          <w:szCs w:val="20"/>
        </w:rPr>
        <w:t>2</w:t>
      </w:r>
      <w:r>
        <w:t>中登为氮气一氧气流切换</w:t>
      </w:r>
      <w:r>
        <w:t xml:space="preserve"> </w:t>
      </w:r>
      <w:r>
        <w:t>点，做为氧化开始点，為为氧化反应起始点丄为氧</w:t>
      </w:r>
      <w:r>
        <w:t xml:space="preserve"> </w:t>
      </w:r>
      <w:r>
        <w:t>化放热峰的时间。</w:t>
      </w:r>
      <w:r>
        <w:rPr>
          <w:rFonts w:ascii="Times New Roman" w:eastAsia="Times New Roman" w:hAnsi="Times New Roman" w:cs="Times New Roman"/>
          <w:sz w:val="20"/>
          <w:szCs w:val="20"/>
          <w:lang w:val="en-US" w:eastAsia="en-US" w:bidi="en-US"/>
        </w:rPr>
        <w:t>c.</w:t>
      </w:r>
      <w:r>
        <w:t>线性内插法，如图</w:t>
      </w:r>
      <w:r>
        <w:rPr>
          <w:rFonts w:ascii="Times New Roman" w:eastAsia="Times New Roman" w:hAnsi="Times New Roman" w:cs="Times New Roman"/>
          <w:sz w:val="20"/>
          <w:szCs w:val="20"/>
        </w:rPr>
        <w:t>3</w:t>
      </w:r>
      <w:r>
        <w:t>所示。</w:t>
      </w:r>
    </w:p>
    <w:p w:rsidR="005740E3" w:rsidRDefault="0043194A">
      <w:pPr>
        <w:jc w:val="center"/>
        <w:rPr>
          <w:sz w:val="2"/>
          <w:szCs w:val="2"/>
        </w:rPr>
      </w:pPr>
      <w:r>
        <w:rPr>
          <w:noProof/>
          <w:lang w:eastAsia="zh-CN" w:bidi="ar-SA"/>
        </w:rPr>
        <w:drawing>
          <wp:inline distT="0" distB="0" distL="0" distR="0">
            <wp:extent cx="2328545" cy="3096895"/>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stretch/>
                  </pic:blipFill>
                  <pic:spPr>
                    <a:xfrm>
                      <a:off x="0" y="0"/>
                      <a:ext cx="2328545" cy="3096895"/>
                    </a:xfrm>
                    <a:prstGeom prst="rect">
                      <a:avLst/>
                    </a:prstGeom>
                  </pic:spPr>
                </pic:pic>
              </a:graphicData>
            </a:graphic>
          </wp:inline>
        </w:drawing>
      </w:r>
    </w:p>
    <w:p w:rsidR="005740E3" w:rsidRDefault="0043194A">
      <w:pPr>
        <w:jc w:val="center"/>
        <w:rPr>
          <w:sz w:val="2"/>
          <w:szCs w:val="2"/>
        </w:rPr>
      </w:pPr>
      <w:r>
        <w:rPr>
          <w:noProof/>
          <w:lang w:eastAsia="zh-CN" w:bidi="ar-SA"/>
        </w:rPr>
        <w:lastRenderedPageBreak/>
        <w:drawing>
          <wp:inline distT="0" distB="0" distL="0" distR="0">
            <wp:extent cx="2523490" cy="157861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pic:blipFill>
                  <pic:spPr>
                    <a:xfrm>
                      <a:off x="0" y="0"/>
                      <a:ext cx="2523490" cy="1578610"/>
                    </a:xfrm>
                    <a:prstGeom prst="rect">
                      <a:avLst/>
                    </a:prstGeom>
                  </pic:spPr>
                </pic:pic>
              </a:graphicData>
            </a:graphic>
          </wp:inline>
        </w:drawing>
      </w:r>
    </w:p>
    <w:p w:rsidR="005740E3" w:rsidRDefault="005740E3">
      <w:pPr>
        <w:spacing w:after="299" w:line="1" w:lineRule="exact"/>
      </w:pPr>
    </w:p>
    <w:p w:rsidR="005740E3" w:rsidRDefault="0043194A">
      <w:pPr>
        <w:pStyle w:val="Heading310"/>
        <w:keepNext/>
        <w:keepLines/>
        <w:spacing w:after="120"/>
      </w:pPr>
      <w:bookmarkStart w:id="25" w:name="bookmark24"/>
      <w:bookmarkStart w:id="26" w:name="bookmark25"/>
      <w:bookmarkStart w:id="27" w:name="bookmark26"/>
      <w:r>
        <w:rPr>
          <w:rFonts w:ascii="Times New Roman" w:eastAsia="Times New Roman" w:hAnsi="Times New Roman" w:cs="Times New Roman"/>
          <w:sz w:val="28"/>
          <w:szCs w:val="28"/>
        </w:rPr>
        <w:t>2</w:t>
      </w:r>
      <w:r>
        <w:t>影响</w:t>
      </w:r>
      <w:r>
        <w:rPr>
          <w:rFonts w:ascii="Times New Roman" w:eastAsia="Times New Roman" w:hAnsi="Times New Roman" w:cs="Times New Roman"/>
          <w:sz w:val="28"/>
          <w:szCs w:val="28"/>
          <w:lang w:val="en-US" w:eastAsia="zh-CN" w:bidi="en-US"/>
        </w:rPr>
        <w:t>OIT</w:t>
      </w:r>
      <w:r>
        <w:t>测试精度的因素</w:t>
      </w:r>
      <w:bookmarkEnd w:id="25"/>
      <w:bookmarkEnd w:id="26"/>
      <w:bookmarkEnd w:id="27"/>
    </w:p>
    <w:p w:rsidR="005740E3" w:rsidRDefault="0043194A">
      <w:pPr>
        <w:pStyle w:val="Bodytext10"/>
        <w:spacing w:after="0" w:line="309" w:lineRule="exact"/>
        <w:ind w:firstLine="440"/>
        <w:jc w:val="both"/>
      </w:pPr>
      <w:r>
        <w:t>测试前有无氮气流的冲洗、氧气流量的控制、测</w:t>
      </w:r>
      <w:r>
        <w:t xml:space="preserve"> </w:t>
      </w:r>
      <w:r>
        <w:t>试温度的控制等因素都会影响</w:t>
      </w:r>
      <w:r>
        <w:rPr>
          <w:rFonts w:ascii="Times New Roman" w:eastAsia="Times New Roman" w:hAnsi="Times New Roman" w:cs="Times New Roman"/>
          <w:sz w:val="20"/>
          <w:szCs w:val="20"/>
          <w:lang w:val="en-US" w:eastAsia="zh-CN" w:bidi="en-US"/>
        </w:rPr>
        <w:t>OIT</w:t>
      </w:r>
      <w:r>
        <w:t>的测试结果。</w:t>
      </w:r>
      <w:r>
        <w:t xml:space="preserve"> </w:t>
      </w:r>
      <w:r>
        <w:t>为了了解上述因素对</w:t>
      </w:r>
      <w:r>
        <w:rPr>
          <w:rFonts w:ascii="Times New Roman" w:eastAsia="Times New Roman" w:hAnsi="Times New Roman" w:cs="Times New Roman"/>
          <w:sz w:val="20"/>
          <w:szCs w:val="20"/>
          <w:lang w:val="en-US" w:eastAsia="zh-CN" w:bidi="en-US"/>
        </w:rPr>
        <w:t>OIT</w:t>
      </w:r>
      <w:r>
        <w:t>测试结果的影响程度，笔</w:t>
      </w:r>
      <w:r>
        <w:t xml:space="preserve"> </w:t>
      </w:r>
      <w:r>
        <w:t>者选择了聚乙烯</w:t>
      </w:r>
      <w:r>
        <w:rPr>
          <w:rFonts w:ascii="Times New Roman" w:eastAsia="Times New Roman" w:hAnsi="Times New Roman" w:cs="Times New Roman"/>
          <w:sz w:val="20"/>
          <w:szCs w:val="20"/>
          <w:lang w:val="en-US" w:eastAsia="zh-CN" w:bidi="en-US"/>
        </w:rPr>
        <w:t>（PE）</w:t>
      </w:r>
      <w:r>
        <w:t>材料为测试样品，试验设备选</w:t>
      </w:r>
      <w:r>
        <w:t xml:space="preserve"> </w:t>
      </w:r>
      <w:r>
        <w:t>用了上海精密仪器厂的差动热分析仪</w:t>
      </w:r>
      <w:r>
        <w:rPr>
          <w:sz w:val="20"/>
          <w:szCs w:val="20"/>
          <w:lang w:val="en-US" w:eastAsia="zh-CN" w:bidi="en-US"/>
        </w:rPr>
        <w:t>（</w:t>
      </w:r>
      <w:r>
        <w:rPr>
          <w:rFonts w:ascii="Times New Roman" w:eastAsia="Times New Roman" w:hAnsi="Times New Roman" w:cs="Times New Roman"/>
          <w:sz w:val="20"/>
          <w:szCs w:val="20"/>
          <w:lang w:val="en-US" w:eastAsia="zh-CN" w:bidi="en-US"/>
        </w:rPr>
        <w:t>CDR-4P</w:t>
      </w:r>
      <w:r>
        <w:t>型）</w:t>
      </w:r>
      <w:r>
        <w:t xml:space="preserve"> </w:t>
      </w:r>
      <w:r>
        <w:t>和上海天平仪器厂的电光分析天平</w:t>
      </w:r>
      <w:r>
        <w:rPr>
          <w:rFonts w:ascii="Times New Roman" w:eastAsia="Times New Roman" w:hAnsi="Times New Roman" w:cs="Times New Roman"/>
          <w:sz w:val="20"/>
          <w:szCs w:val="20"/>
          <w:lang w:val="en-US" w:eastAsia="zh-CN" w:bidi="en-US"/>
        </w:rPr>
        <w:t>（TG328B</w:t>
      </w:r>
      <w:r>
        <w:t>型），</w:t>
      </w:r>
      <w:r>
        <w:t xml:space="preserve"> </w:t>
      </w:r>
      <w:r>
        <w:t>并按</w:t>
      </w:r>
      <w:r>
        <w:rPr>
          <w:rFonts w:ascii="Times New Roman" w:eastAsia="Times New Roman" w:hAnsi="Times New Roman" w:cs="Times New Roman"/>
          <w:sz w:val="20"/>
          <w:szCs w:val="20"/>
          <w:lang w:val="en-US" w:eastAsia="zh-CN" w:bidi="en-US"/>
        </w:rPr>
        <w:t>ASTM D4565.</w:t>
      </w:r>
      <w:r>
        <w:rPr>
          <w:rFonts w:ascii="Times New Roman" w:eastAsia="Times New Roman" w:hAnsi="Times New Roman" w:cs="Times New Roman"/>
          <w:sz w:val="20"/>
          <w:szCs w:val="20"/>
        </w:rPr>
        <w:t>17</w:t>
      </w:r>
      <w:r>
        <w:t>标准进行了一系列测试。测</w:t>
      </w:r>
      <w:r>
        <w:t xml:space="preserve"> </w:t>
      </w:r>
      <w:r>
        <w:t>试条件如下：样品质量为</w:t>
      </w:r>
      <w:r>
        <w:rPr>
          <w:sz w:val="20"/>
          <w:szCs w:val="20"/>
        </w:rPr>
        <w:t>（</w:t>
      </w:r>
      <w:r>
        <w:rPr>
          <w:rFonts w:ascii="Times New Roman" w:eastAsia="Times New Roman" w:hAnsi="Times New Roman" w:cs="Times New Roman"/>
          <w:sz w:val="20"/>
          <w:szCs w:val="20"/>
        </w:rPr>
        <w:t>5</w:t>
      </w:r>
      <w:r>
        <w:t>士</w:t>
      </w:r>
      <w:r>
        <w:rPr>
          <w:rFonts w:ascii="Times New Roman" w:eastAsia="Times New Roman" w:hAnsi="Times New Roman" w:cs="Times New Roman"/>
          <w:sz w:val="20"/>
          <w:szCs w:val="20"/>
        </w:rPr>
        <w:t xml:space="preserve">0. 1） </w:t>
      </w:r>
      <w:r>
        <w:rPr>
          <w:rFonts w:ascii="Times New Roman" w:eastAsia="Times New Roman" w:hAnsi="Times New Roman" w:cs="Times New Roman"/>
          <w:sz w:val="20"/>
          <w:szCs w:val="20"/>
          <w:lang w:val="en-US" w:eastAsia="zh-CN" w:bidi="en-US"/>
        </w:rPr>
        <w:t>mg,</w:t>
      </w:r>
      <w:r>
        <w:t>样品皿为铝</w:t>
      </w:r>
      <w:r>
        <w:t xml:space="preserve"> </w:t>
      </w:r>
      <w:r>
        <w:t>皿，氮气和氧气流量均为</w:t>
      </w:r>
      <w:r>
        <w:rPr>
          <w:sz w:val="20"/>
          <w:szCs w:val="20"/>
        </w:rPr>
        <w:t>（</w:t>
      </w:r>
      <w:r>
        <w:rPr>
          <w:rFonts w:ascii="Times New Roman" w:eastAsia="Times New Roman" w:hAnsi="Times New Roman" w:cs="Times New Roman"/>
          <w:sz w:val="20"/>
          <w:szCs w:val="20"/>
        </w:rPr>
        <w:t>50</w:t>
      </w:r>
      <w:r>
        <w:t>士</w:t>
      </w:r>
      <w:r>
        <w:t xml:space="preserve"> </w:t>
      </w: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lang w:val="en-US" w:eastAsia="zh-CN" w:bidi="en-US"/>
        </w:rPr>
        <w:t>mL/min,</w:t>
      </w:r>
      <w:r>
        <w:t>升温速</w:t>
      </w:r>
      <w:r>
        <w:t xml:space="preserve"> </w:t>
      </w:r>
      <w:r>
        <w:t>率为</w:t>
      </w:r>
      <w:r>
        <w:t xml:space="preserve"> </w:t>
      </w:r>
      <w:r>
        <w:rPr>
          <w:rFonts w:ascii="Times New Roman" w:eastAsia="Times New Roman" w:hAnsi="Times New Roman" w:cs="Times New Roman"/>
          <w:sz w:val="20"/>
          <w:szCs w:val="20"/>
        </w:rPr>
        <w:t xml:space="preserve">20 </w:t>
      </w:r>
      <w:r>
        <w:rPr>
          <w:rFonts w:ascii="Times New Roman" w:eastAsia="Times New Roman" w:hAnsi="Times New Roman" w:cs="Times New Roman"/>
          <w:sz w:val="20"/>
          <w:szCs w:val="20"/>
          <w:lang w:val="en-US" w:eastAsia="zh-CN" w:bidi="en-US"/>
        </w:rPr>
        <w:t>C/min</w:t>
      </w:r>
      <w:r>
        <w:rPr>
          <w:lang w:val="en-US" w:eastAsia="zh-CN" w:bidi="en-US"/>
        </w:rPr>
        <w:t>。</w:t>
      </w:r>
    </w:p>
    <w:p w:rsidR="005740E3" w:rsidRDefault="0043194A">
      <w:pPr>
        <w:pStyle w:val="Heading410"/>
        <w:keepNext/>
        <w:keepLines/>
        <w:spacing w:line="309" w:lineRule="exact"/>
        <w:jc w:val="both"/>
      </w:pPr>
      <w:bookmarkStart w:id="28" w:name="bookmark27"/>
      <w:bookmarkStart w:id="29" w:name="bookmark28"/>
      <w:bookmarkStart w:id="30" w:name="bookmark29"/>
      <w:r>
        <w:rPr>
          <w:rFonts w:ascii="Times New Roman" w:eastAsia="Times New Roman" w:hAnsi="Times New Roman" w:cs="Times New Roman"/>
          <w:sz w:val="20"/>
          <w:szCs w:val="20"/>
          <w:lang w:val="en-US" w:eastAsia="zh-CN" w:bidi="en-US"/>
        </w:rPr>
        <w:t>2.1</w:t>
      </w:r>
      <w:r>
        <w:t>炉腔的吹洗时间</w:t>
      </w:r>
      <w:bookmarkEnd w:id="28"/>
      <w:bookmarkEnd w:id="29"/>
      <w:bookmarkEnd w:id="30"/>
    </w:p>
    <w:p w:rsidR="005740E3" w:rsidRDefault="0043194A">
      <w:pPr>
        <w:pStyle w:val="Bodytext10"/>
        <w:spacing w:after="0" w:line="309" w:lineRule="exact"/>
        <w:ind w:firstLine="440"/>
        <w:jc w:val="both"/>
      </w:pPr>
      <w:r>
        <w:t>在试样未达到测试温度的升温过程中，纯净的</w:t>
      </w:r>
      <w:r>
        <w:t xml:space="preserve"> </w:t>
      </w:r>
      <w:r>
        <w:t>惰性气体氛围（工业级氮气）可避免试样提前发生氧</w:t>
      </w:r>
      <w:r>
        <w:t xml:space="preserve"> </w:t>
      </w:r>
      <w:r>
        <w:t>化。标准</w:t>
      </w:r>
      <w:r>
        <w:t xml:space="preserve"> </w:t>
      </w:r>
      <w:r>
        <w:rPr>
          <w:rFonts w:ascii="Times New Roman" w:eastAsia="Times New Roman" w:hAnsi="Times New Roman" w:cs="Times New Roman"/>
          <w:sz w:val="20"/>
          <w:szCs w:val="20"/>
          <w:lang w:val="en-US" w:eastAsia="en-US" w:bidi="en-US"/>
        </w:rPr>
        <w:t xml:space="preserve">ISO 11357-6,ASTM D4565. </w:t>
      </w:r>
      <w:r>
        <w:rPr>
          <w:rFonts w:ascii="Times New Roman" w:eastAsia="Times New Roman" w:hAnsi="Times New Roman" w:cs="Times New Roman"/>
          <w:sz w:val="20"/>
          <w:szCs w:val="20"/>
        </w:rPr>
        <w:t xml:space="preserve">17 </w:t>
      </w:r>
      <w:r>
        <w:t>和</w:t>
      </w:r>
      <w:r>
        <w:t xml:space="preserve"> </w:t>
      </w:r>
      <w:r>
        <w:rPr>
          <w:rFonts w:ascii="Times New Roman" w:eastAsia="Times New Roman" w:hAnsi="Times New Roman" w:cs="Times New Roman"/>
          <w:sz w:val="20"/>
          <w:szCs w:val="20"/>
          <w:lang w:val="en-US" w:eastAsia="en-US" w:bidi="en-US"/>
        </w:rPr>
        <w:t>GB/T 2951. 9—1997</w:t>
      </w:r>
      <w:r>
        <w:t>中均增加了升温前应采用</w:t>
      </w:r>
      <w:r>
        <w:rPr>
          <w:rFonts w:ascii="Times New Roman" w:eastAsia="Times New Roman" w:hAnsi="Times New Roman" w:cs="Times New Roman"/>
          <w:sz w:val="20"/>
          <w:szCs w:val="20"/>
        </w:rPr>
        <w:t xml:space="preserve">50 </w:t>
      </w:r>
      <w:r>
        <w:rPr>
          <w:rFonts w:ascii="Times New Roman" w:eastAsia="Times New Roman" w:hAnsi="Times New Roman" w:cs="Times New Roman"/>
          <w:sz w:val="20"/>
          <w:szCs w:val="20"/>
          <w:lang w:val="en-US" w:eastAsia="en-US" w:bidi="en-US"/>
        </w:rPr>
        <w:t>mL/min</w:t>
      </w:r>
      <w:r>
        <w:t>流量的氮气吹洗炉体</w:t>
      </w: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lang w:val="en-US" w:eastAsia="en-US" w:bidi="en-US"/>
        </w:rPr>
        <w:t>min</w:t>
      </w:r>
      <w:r>
        <w:t>这一规定。其</w:t>
      </w:r>
      <w:r>
        <w:t xml:space="preserve"> </w:t>
      </w:r>
      <w:r>
        <w:t>目的是彻底洗去炉体中的残留空气（氧气），避免试</w:t>
      </w:r>
      <w:r>
        <w:t xml:space="preserve"> </w:t>
      </w:r>
      <w:r>
        <w:t>样提前氧化而导致的</w:t>
      </w:r>
      <w:r>
        <w:rPr>
          <w:rFonts w:ascii="Times New Roman" w:eastAsia="Times New Roman" w:hAnsi="Times New Roman" w:cs="Times New Roman"/>
          <w:sz w:val="20"/>
          <w:szCs w:val="20"/>
          <w:lang w:val="en-US" w:eastAsia="zh-CN" w:bidi="en-US"/>
        </w:rPr>
        <w:t>OIT</w:t>
      </w:r>
      <w:r>
        <w:t>测量值小于实际值。根</w:t>
      </w:r>
      <w:r>
        <w:t xml:space="preserve"> </w:t>
      </w:r>
      <w:r>
        <w:t>据我们所做的试验，吹洗炉腔时间超过</w:t>
      </w: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lang w:val="en-US" w:eastAsia="zh-CN" w:bidi="en-US"/>
        </w:rPr>
        <w:t>min</w:t>
      </w:r>
      <w:r>
        <w:t>后所</w:t>
      </w:r>
      <w:r>
        <w:t xml:space="preserve"> </w:t>
      </w:r>
      <w:r>
        <w:t>测得的</w:t>
      </w:r>
      <w:r>
        <w:rPr>
          <w:rFonts w:ascii="Times New Roman" w:eastAsia="Times New Roman" w:hAnsi="Times New Roman" w:cs="Times New Roman"/>
          <w:sz w:val="20"/>
          <w:szCs w:val="20"/>
          <w:lang w:val="en-US" w:eastAsia="zh-CN" w:bidi="en-US"/>
        </w:rPr>
        <w:t>OIT</w:t>
      </w:r>
      <w:r>
        <w:t>值趋于一固定值，因而对差动热分析仪</w:t>
      </w:r>
      <w:r>
        <w:t xml:space="preserve"> </w:t>
      </w:r>
      <w:r>
        <w:t>的炉体用</w:t>
      </w:r>
      <w:r>
        <w:rPr>
          <w:rFonts w:ascii="Times New Roman" w:eastAsia="Times New Roman" w:hAnsi="Times New Roman" w:cs="Times New Roman"/>
          <w:sz w:val="20"/>
          <w:szCs w:val="20"/>
        </w:rPr>
        <w:t xml:space="preserve">50 </w:t>
      </w:r>
      <w:r>
        <w:rPr>
          <w:rFonts w:ascii="Times New Roman" w:eastAsia="Times New Roman" w:hAnsi="Times New Roman" w:cs="Times New Roman"/>
          <w:sz w:val="20"/>
          <w:szCs w:val="20"/>
          <w:lang w:val="en-US" w:eastAsia="zh-CN" w:bidi="en-US"/>
        </w:rPr>
        <w:t>mL/min</w:t>
      </w:r>
      <w:r>
        <w:t>流量的氮气吹洗</w:t>
      </w: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lang w:val="en-US" w:eastAsia="zh-CN" w:bidi="en-US"/>
        </w:rPr>
        <w:t>min</w:t>
      </w:r>
      <w:r>
        <w:t>可保</w:t>
      </w:r>
      <w:r>
        <w:t xml:space="preserve"> </w:t>
      </w:r>
      <w:r>
        <w:t>证测得的</w:t>
      </w:r>
      <w:r>
        <w:rPr>
          <w:rFonts w:ascii="Times New Roman" w:eastAsia="Times New Roman" w:hAnsi="Times New Roman" w:cs="Times New Roman"/>
          <w:sz w:val="20"/>
          <w:szCs w:val="20"/>
          <w:lang w:val="en-US" w:eastAsia="zh-CN" w:bidi="en-US"/>
        </w:rPr>
        <w:t>OIT</w:t>
      </w:r>
      <w:r>
        <w:t>值的准确性。</w:t>
      </w:r>
    </w:p>
    <w:p w:rsidR="005740E3" w:rsidRDefault="0043194A">
      <w:pPr>
        <w:pStyle w:val="Heading410"/>
        <w:keepNext/>
        <w:keepLines/>
        <w:spacing w:line="309" w:lineRule="exact"/>
        <w:jc w:val="both"/>
      </w:pPr>
      <w:bookmarkStart w:id="31" w:name="bookmark30"/>
      <w:bookmarkStart w:id="32" w:name="bookmark31"/>
      <w:bookmarkStart w:id="33" w:name="bookmark32"/>
      <w:r>
        <w:rPr>
          <w:rFonts w:ascii="Times New Roman" w:eastAsia="Times New Roman" w:hAnsi="Times New Roman" w:cs="Times New Roman"/>
          <w:sz w:val="20"/>
          <w:szCs w:val="20"/>
          <w:lang w:val="en-US" w:eastAsia="zh-CN" w:bidi="en-US"/>
        </w:rPr>
        <w:t>2.2</w:t>
      </w:r>
      <w:r>
        <w:t>氧气流量的波动范围</w:t>
      </w:r>
      <w:bookmarkEnd w:id="31"/>
      <w:bookmarkEnd w:id="32"/>
      <w:bookmarkEnd w:id="33"/>
    </w:p>
    <w:p w:rsidR="005740E3" w:rsidRDefault="0043194A">
      <w:pPr>
        <w:pStyle w:val="Bodytext10"/>
        <w:spacing w:after="0" w:line="310" w:lineRule="exact"/>
        <w:ind w:firstLine="440"/>
        <w:jc w:val="both"/>
      </w:pPr>
      <w:r>
        <w:t>在氧化降解过程中，氧是活性反应组分之一，随</w:t>
      </w:r>
      <w:r>
        <w:t xml:space="preserve"> </w:t>
      </w:r>
      <w:r>
        <w:t>着氧气流量的增加，试样的</w:t>
      </w:r>
      <w:r>
        <w:rPr>
          <w:rFonts w:ascii="Times New Roman" w:eastAsia="Times New Roman" w:hAnsi="Times New Roman" w:cs="Times New Roman"/>
          <w:sz w:val="20"/>
          <w:szCs w:val="20"/>
          <w:lang w:val="en-US" w:eastAsia="zh-CN" w:bidi="en-US"/>
        </w:rPr>
        <w:t>OIT</w:t>
      </w:r>
      <w:r>
        <w:t>值呈下降趋势，即</w:t>
      </w:r>
      <w:r>
        <w:t xml:space="preserve"> </w:t>
      </w:r>
      <w:r>
        <w:t>氧气流量的增加会提高氧化反应的速率。表</w:t>
      </w:r>
      <w:r>
        <w:rPr>
          <w:rFonts w:ascii="Times New Roman" w:eastAsia="Times New Roman" w:hAnsi="Times New Roman" w:cs="Times New Roman"/>
          <w:sz w:val="20"/>
          <w:szCs w:val="20"/>
        </w:rPr>
        <w:t>1</w:t>
      </w:r>
      <w:r>
        <w:t>为我</w:t>
      </w:r>
      <w:r>
        <w:t xml:space="preserve"> </w:t>
      </w:r>
      <w:r>
        <w:t>们所做试验的结果，可见以标准规定的</w:t>
      </w:r>
      <w:r>
        <w:rPr>
          <w:rFonts w:ascii="Times New Roman" w:eastAsia="Times New Roman" w:hAnsi="Times New Roman" w:cs="Times New Roman"/>
          <w:sz w:val="20"/>
          <w:szCs w:val="20"/>
        </w:rPr>
        <w:t xml:space="preserve">50 </w:t>
      </w:r>
      <w:r>
        <w:rPr>
          <w:rFonts w:ascii="Times New Roman" w:eastAsia="Times New Roman" w:hAnsi="Times New Roman" w:cs="Times New Roman"/>
          <w:sz w:val="20"/>
          <w:szCs w:val="20"/>
          <w:lang w:val="en-US" w:eastAsia="zh-CN" w:bidi="en-US"/>
        </w:rPr>
        <w:t xml:space="preserve">mL/min </w:t>
      </w:r>
      <w:r>
        <w:t>为基准，</w:t>
      </w: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lang w:val="en-US" w:eastAsia="zh-CN" w:bidi="en-US"/>
        </w:rPr>
        <w:t>mL/min</w:t>
      </w:r>
      <w:r>
        <w:t>的氧气流量变化对测试结果</w:t>
      </w:r>
      <w:r>
        <w:t xml:space="preserve"> </w:t>
      </w:r>
      <w:r>
        <w:t>的影响并不显著，因而</w:t>
      </w:r>
      <w:r>
        <w:rPr>
          <w:rFonts w:ascii="Times New Roman" w:eastAsia="Times New Roman" w:hAnsi="Times New Roman" w:cs="Times New Roman"/>
          <w:sz w:val="20"/>
          <w:szCs w:val="20"/>
          <w:lang w:val="en-US" w:eastAsia="zh-CN" w:bidi="en-US"/>
        </w:rPr>
        <w:t>ISO 11357-6,ASTM D45</w:t>
      </w:r>
      <w:r>
        <w:rPr>
          <w:rFonts w:ascii="Times New Roman" w:eastAsia="Times New Roman" w:hAnsi="Times New Roman" w:cs="Times New Roman"/>
          <w:sz w:val="20"/>
          <w:szCs w:val="20"/>
          <w:lang w:val="en-US" w:eastAsia="zh-CN" w:bidi="en-US"/>
        </w:rPr>
        <w:t>65.</w:t>
      </w:r>
      <w:r>
        <w:rPr>
          <w:rFonts w:ascii="Times New Roman" w:eastAsia="Times New Roman" w:hAnsi="Times New Roman" w:cs="Times New Roman"/>
          <w:sz w:val="20"/>
          <w:szCs w:val="20"/>
        </w:rPr>
        <w:t xml:space="preserve">17 </w:t>
      </w:r>
      <w:r>
        <w:t>和</w:t>
      </w:r>
      <w:r>
        <w:rPr>
          <w:rFonts w:ascii="Times New Roman" w:eastAsia="Times New Roman" w:hAnsi="Times New Roman" w:cs="Times New Roman"/>
          <w:sz w:val="20"/>
          <w:szCs w:val="20"/>
          <w:lang w:val="en-US" w:eastAsia="zh-CN" w:bidi="en-US"/>
        </w:rPr>
        <w:t>GB/T 2951. 9—1997</w:t>
      </w:r>
      <w:r>
        <w:t>标准中所规定的氧气流量</w:t>
      </w:r>
      <w:r>
        <w:t xml:space="preserve"> </w:t>
      </w:r>
      <w:r>
        <w:t>控制范围为</w:t>
      </w:r>
      <w:r>
        <w:rPr>
          <w:rFonts w:ascii="Times New Roman" w:eastAsia="Times New Roman" w:hAnsi="Times New Roman" w:cs="Times New Roman"/>
          <w:sz w:val="20"/>
          <w:szCs w:val="20"/>
        </w:rPr>
        <w:t xml:space="preserve">（50±5） </w:t>
      </w:r>
      <w:r>
        <w:rPr>
          <w:rFonts w:ascii="Times New Roman" w:eastAsia="Times New Roman" w:hAnsi="Times New Roman" w:cs="Times New Roman"/>
          <w:sz w:val="20"/>
          <w:szCs w:val="20"/>
          <w:lang w:val="en-US" w:eastAsia="zh-CN" w:bidi="en-US"/>
        </w:rPr>
        <w:t>mL/min</w:t>
      </w:r>
      <w:r>
        <w:t>应该遵循。</w:t>
      </w:r>
    </w:p>
    <w:p w:rsidR="005740E3" w:rsidRDefault="0043194A">
      <w:pPr>
        <w:pStyle w:val="Heading410"/>
        <w:keepNext/>
        <w:keepLines/>
        <w:jc w:val="both"/>
      </w:pPr>
      <w:bookmarkStart w:id="34" w:name="bookmark33"/>
      <w:bookmarkStart w:id="35" w:name="bookmark34"/>
      <w:bookmarkStart w:id="36" w:name="bookmark35"/>
      <w:r>
        <w:rPr>
          <w:rFonts w:ascii="Times New Roman" w:eastAsia="Times New Roman" w:hAnsi="Times New Roman" w:cs="Times New Roman"/>
          <w:sz w:val="20"/>
          <w:szCs w:val="20"/>
          <w:lang w:val="en-US" w:eastAsia="zh-CN" w:bidi="en-US"/>
        </w:rPr>
        <w:t>2.3</w:t>
      </w:r>
      <w:r>
        <w:t>测试温度</w:t>
      </w:r>
      <w:bookmarkEnd w:id="34"/>
      <w:bookmarkEnd w:id="35"/>
      <w:bookmarkEnd w:id="36"/>
    </w:p>
    <w:p w:rsidR="005740E3" w:rsidRDefault="0043194A">
      <w:pPr>
        <w:pStyle w:val="Bodytext40"/>
        <w:spacing w:after="60"/>
        <w:jc w:val="both"/>
      </w:pPr>
      <w:r>
        <w:rPr>
          <w:rFonts w:ascii="宋体" w:eastAsia="宋体" w:hAnsi="宋体" w:cs="宋体"/>
          <w:sz w:val="19"/>
          <w:szCs w:val="19"/>
        </w:rPr>
        <w:t>随着测试温度的升高</w:t>
      </w:r>
      <w:r>
        <w:rPr>
          <w:rFonts w:ascii="宋体" w:eastAsia="宋体" w:hAnsi="宋体" w:cs="宋体"/>
          <w:lang w:val="en-US" w:eastAsia="zh-CN" w:bidi="en-US"/>
        </w:rPr>
        <w:t>，</w:t>
      </w:r>
      <w:r>
        <w:rPr>
          <w:lang w:val="en-US" w:eastAsia="zh-CN" w:bidi="en-US"/>
        </w:rPr>
        <w:t>OIT</w:t>
      </w:r>
      <w:r>
        <w:rPr>
          <w:rFonts w:ascii="宋体" w:eastAsia="宋体" w:hAnsi="宋体" w:cs="宋体"/>
          <w:sz w:val="19"/>
          <w:szCs w:val="19"/>
        </w:rPr>
        <w:t>的测试值会减小。</w:t>
      </w:r>
      <w:r>
        <w:rPr>
          <w:rFonts w:ascii="宋体" w:eastAsia="宋体" w:hAnsi="宋体" w:cs="宋体"/>
          <w:sz w:val="19"/>
          <w:szCs w:val="19"/>
        </w:rPr>
        <w:t xml:space="preserve"> </w:t>
      </w:r>
      <w:r>
        <w:rPr>
          <w:lang w:val="en-US" w:eastAsia="zh-CN" w:bidi="en-US"/>
        </w:rPr>
        <w:t>ASTM D4565.</w:t>
      </w:r>
      <w:r>
        <w:t xml:space="preserve">17 </w:t>
      </w:r>
      <w:r>
        <w:rPr>
          <w:rFonts w:ascii="宋体" w:eastAsia="宋体" w:hAnsi="宋体" w:cs="宋体"/>
          <w:sz w:val="19"/>
          <w:szCs w:val="19"/>
        </w:rPr>
        <w:t>中阐述到：在</w:t>
      </w:r>
      <w:r>
        <w:rPr>
          <w:rFonts w:ascii="宋体" w:eastAsia="宋体" w:hAnsi="宋体" w:cs="宋体"/>
          <w:sz w:val="19"/>
          <w:szCs w:val="19"/>
        </w:rPr>
        <w:t xml:space="preserve"> </w:t>
      </w:r>
      <w:r>
        <w:t>200 1</w:t>
      </w:r>
      <w:r>
        <w:rPr>
          <w:rFonts w:ascii="宋体" w:eastAsia="宋体" w:hAnsi="宋体" w:cs="宋体"/>
          <w:sz w:val="19"/>
          <w:szCs w:val="19"/>
        </w:rPr>
        <w:t>时，士</w:t>
      </w:r>
      <w:r>
        <w:rPr>
          <w:lang w:val="en-US" w:eastAsia="zh-CN" w:bidi="en-US"/>
        </w:rPr>
        <w:t xml:space="preserve">0. </w:t>
      </w:r>
      <w:r>
        <w:t xml:space="preserve">5 </w:t>
      </w:r>
      <w:r>
        <w:rPr>
          <w:lang w:val="en-US" w:eastAsia="zh-CN" w:bidi="en-US"/>
        </w:rPr>
        <w:t>°C</w:t>
      </w:r>
    </w:p>
    <w:p w:rsidR="005740E3" w:rsidRDefault="0043194A">
      <w:pPr>
        <w:pStyle w:val="Tablecaption10"/>
        <w:ind w:left="974" w:firstLine="0"/>
      </w:pPr>
      <w:r>
        <w:t>表</w:t>
      </w:r>
      <w:r>
        <w:rPr>
          <w:rFonts w:ascii="Times New Roman" w:eastAsia="Times New Roman" w:hAnsi="Times New Roman" w:cs="Times New Roman"/>
          <w:sz w:val="16"/>
          <w:szCs w:val="16"/>
        </w:rPr>
        <w:t>1</w:t>
      </w:r>
      <w:r>
        <w:t>氧气流量波动对</w:t>
      </w:r>
      <w:r>
        <w:rPr>
          <w:rFonts w:ascii="Times New Roman" w:eastAsia="Times New Roman" w:hAnsi="Times New Roman" w:cs="Times New Roman"/>
          <w:sz w:val="16"/>
          <w:szCs w:val="16"/>
          <w:lang w:val="en-US" w:eastAsia="zh-CN" w:bidi="en-US"/>
        </w:rPr>
        <w:t>OIT</w:t>
      </w:r>
      <w:r>
        <w:t>的影响</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09"/>
        <w:gridCol w:w="1522"/>
        <w:gridCol w:w="1080"/>
        <w:gridCol w:w="946"/>
      </w:tblGrid>
      <w:tr w:rsidR="005740E3">
        <w:tblPrEx>
          <w:tblCellMar>
            <w:top w:w="0" w:type="dxa"/>
            <w:bottom w:w="0" w:type="dxa"/>
          </w:tblCellMar>
        </w:tblPrEx>
        <w:trPr>
          <w:trHeight w:hRule="exact" w:val="734"/>
          <w:jc w:val="center"/>
        </w:trPr>
        <w:tc>
          <w:tcPr>
            <w:tcW w:w="1109" w:type="dxa"/>
            <w:tcBorders>
              <w:top w:val="single" w:sz="4" w:space="0" w:color="auto"/>
            </w:tcBorders>
            <w:shd w:val="clear" w:color="auto" w:fill="FFFFFF"/>
            <w:vAlign w:val="center"/>
          </w:tcPr>
          <w:p w:rsidR="005740E3" w:rsidRDefault="0043194A">
            <w:pPr>
              <w:pStyle w:val="Other10"/>
              <w:spacing w:after="100" w:line="240" w:lineRule="auto"/>
              <w:ind w:firstLine="0"/>
              <w:jc w:val="center"/>
              <w:rPr>
                <w:sz w:val="14"/>
                <w:szCs w:val="14"/>
              </w:rPr>
            </w:pPr>
            <w:r>
              <w:rPr>
                <w:sz w:val="17"/>
                <w:szCs w:val="17"/>
                <w:lang w:val="zh-TW" w:eastAsia="zh-TW" w:bidi="zh-TW"/>
              </w:rPr>
              <w:lastRenderedPageBreak/>
              <w:t>氧气流量</w:t>
            </w:r>
            <w:r>
              <w:rPr>
                <w:sz w:val="14"/>
                <w:szCs w:val="14"/>
              </w:rPr>
              <w:t>L/</w:t>
            </w:r>
          </w:p>
          <w:p w:rsidR="005740E3" w:rsidRDefault="0043194A">
            <w:pPr>
              <w:pStyle w:val="Other10"/>
              <w:spacing w:after="0" w:line="240" w:lineRule="auto"/>
              <w:ind w:firstLine="0"/>
              <w:jc w:val="center"/>
              <w:rPr>
                <w:sz w:val="14"/>
                <w:szCs w:val="14"/>
              </w:rPr>
            </w:pPr>
            <w:r>
              <w:rPr>
                <w:sz w:val="14"/>
                <w:szCs w:val="14"/>
              </w:rPr>
              <w:t>(mL • min'</w:t>
            </w:r>
            <w:r>
              <w:rPr>
                <w:sz w:val="14"/>
                <w:szCs w:val="14"/>
                <w:vertAlign w:val="superscript"/>
              </w:rPr>
              <w:t>1</w:t>
            </w:r>
            <w:r>
              <w:rPr>
                <w:sz w:val="14"/>
                <w:szCs w:val="14"/>
                <w:lang w:val="zh-TW" w:eastAsia="zh-TW" w:bidi="zh-TW"/>
              </w:rPr>
              <w:t>)</w:t>
            </w:r>
          </w:p>
        </w:tc>
        <w:tc>
          <w:tcPr>
            <w:tcW w:w="1522" w:type="dxa"/>
            <w:tcBorders>
              <w:top w:val="single" w:sz="4" w:space="0" w:color="auto"/>
              <w:left w:val="single" w:sz="4" w:space="0" w:color="auto"/>
            </w:tcBorders>
            <w:shd w:val="clear" w:color="auto" w:fill="FFFFFF"/>
            <w:vAlign w:val="center"/>
          </w:tcPr>
          <w:p w:rsidR="005740E3" w:rsidRDefault="0043194A">
            <w:pPr>
              <w:pStyle w:val="Other10"/>
              <w:spacing w:after="100" w:line="240" w:lineRule="auto"/>
              <w:ind w:firstLine="0"/>
              <w:jc w:val="center"/>
              <w:rPr>
                <w:sz w:val="17"/>
                <w:szCs w:val="17"/>
              </w:rPr>
            </w:pPr>
            <w:r>
              <w:rPr>
                <w:sz w:val="17"/>
                <w:szCs w:val="17"/>
                <w:lang w:val="zh-TW" w:eastAsia="zh-TW" w:bidi="zh-TW"/>
              </w:rPr>
              <w:t>氧气流量的波动</w:t>
            </w:r>
          </w:p>
          <w:p w:rsidR="005740E3" w:rsidRDefault="0043194A">
            <w:pPr>
              <w:pStyle w:val="Other10"/>
              <w:spacing w:after="0" w:line="240" w:lineRule="auto"/>
              <w:ind w:firstLine="0"/>
              <w:jc w:val="center"/>
              <w:rPr>
                <w:sz w:val="14"/>
                <w:szCs w:val="14"/>
              </w:rPr>
            </w:pPr>
            <w:r>
              <w:rPr>
                <w:sz w:val="14"/>
                <w:szCs w:val="14"/>
              </w:rPr>
              <w:t>△L/</w:t>
            </w:r>
            <w:r>
              <w:rPr>
                <w:sz w:val="14"/>
                <w:szCs w:val="14"/>
              </w:rPr>
              <w:t>（</w:t>
            </w:r>
            <w:r>
              <w:rPr>
                <w:sz w:val="14"/>
                <w:szCs w:val="14"/>
              </w:rPr>
              <w:t>mL • min</w:t>
            </w:r>
            <w:r>
              <w:rPr>
                <w:sz w:val="14"/>
                <w:szCs w:val="14"/>
                <w:vertAlign w:val="superscript"/>
              </w:rPr>
              <w:t>-1</w:t>
            </w:r>
            <w:r>
              <w:rPr>
                <w:sz w:val="14"/>
                <w:szCs w:val="14"/>
                <w:lang w:val="zh-TW" w:eastAsia="zh-TW" w:bidi="zh-TW"/>
              </w:rPr>
              <w:t>）</w:t>
            </w:r>
          </w:p>
        </w:tc>
        <w:tc>
          <w:tcPr>
            <w:tcW w:w="1080" w:type="dxa"/>
            <w:tcBorders>
              <w:top w:val="single" w:sz="4" w:space="0" w:color="auto"/>
              <w:left w:val="single" w:sz="4" w:space="0" w:color="auto"/>
            </w:tcBorders>
            <w:shd w:val="clear" w:color="auto" w:fill="FFFFFF"/>
            <w:vAlign w:val="center"/>
          </w:tcPr>
          <w:p w:rsidR="005740E3" w:rsidRDefault="0043194A">
            <w:pPr>
              <w:pStyle w:val="Other10"/>
              <w:spacing w:after="0" w:line="269" w:lineRule="exact"/>
              <w:ind w:firstLine="0"/>
              <w:rPr>
                <w:sz w:val="14"/>
                <w:szCs w:val="14"/>
              </w:rPr>
            </w:pPr>
            <w:r>
              <w:rPr>
                <w:sz w:val="17"/>
                <w:szCs w:val="17"/>
                <w:lang w:val="zh-TW" w:eastAsia="zh-TW" w:bidi="zh-TW"/>
              </w:rPr>
              <w:t>平均氧化诱导</w:t>
            </w:r>
            <w:r>
              <w:rPr>
                <w:sz w:val="17"/>
                <w:szCs w:val="17"/>
                <w:lang w:val="zh-TW" w:eastAsia="zh-TW" w:bidi="zh-TW"/>
              </w:rPr>
              <w:t xml:space="preserve"> </w:t>
            </w:r>
            <w:r>
              <w:rPr>
                <w:sz w:val="17"/>
                <w:szCs w:val="17"/>
                <w:lang w:val="zh-TW" w:eastAsia="zh-TW" w:bidi="zh-TW"/>
              </w:rPr>
              <w:t>期</w:t>
            </w:r>
            <w:r>
              <w:rPr>
                <w:sz w:val="17"/>
                <w:szCs w:val="17"/>
                <w:lang w:val="zh-TW" w:eastAsia="zh-TW" w:bidi="zh-TW"/>
              </w:rPr>
              <w:t xml:space="preserve"> </w:t>
            </w:r>
            <w:proofErr w:type="spellStart"/>
            <w:r>
              <w:rPr>
                <w:sz w:val="14"/>
                <w:szCs w:val="14"/>
              </w:rPr>
              <w:t>JoiT</w:t>
            </w:r>
            <w:proofErr w:type="spellEnd"/>
            <w:r>
              <w:rPr>
                <w:sz w:val="14"/>
                <w:szCs w:val="14"/>
              </w:rPr>
              <w:t>/min</w:t>
            </w:r>
            <w:r>
              <w:rPr>
                <w:sz w:val="14"/>
                <w:szCs w:val="14"/>
                <w:vertAlign w:val="superscript"/>
              </w:rPr>
              <w:t>15</w:t>
            </w:r>
          </w:p>
        </w:tc>
        <w:tc>
          <w:tcPr>
            <w:tcW w:w="946" w:type="dxa"/>
            <w:tcBorders>
              <w:top w:val="single" w:sz="4" w:space="0" w:color="auto"/>
              <w:left w:val="single" w:sz="4" w:space="0" w:color="auto"/>
            </w:tcBorders>
            <w:shd w:val="clear" w:color="auto" w:fill="FFFFFF"/>
            <w:vAlign w:val="center"/>
          </w:tcPr>
          <w:p w:rsidR="005740E3" w:rsidRDefault="0043194A">
            <w:pPr>
              <w:pStyle w:val="Other10"/>
              <w:spacing w:after="100" w:line="240" w:lineRule="auto"/>
              <w:ind w:firstLine="0"/>
              <w:jc w:val="center"/>
              <w:rPr>
                <w:sz w:val="14"/>
                <w:szCs w:val="14"/>
              </w:rPr>
            </w:pPr>
            <w:r>
              <w:rPr>
                <w:sz w:val="17"/>
                <w:szCs w:val="17"/>
                <w:lang w:val="zh-TW" w:eastAsia="zh-TW" w:bidi="zh-TW"/>
              </w:rPr>
              <w:t>偏差</w:t>
            </w:r>
            <w:r>
              <w:rPr>
                <w:sz w:val="14"/>
                <w:szCs w:val="14"/>
              </w:rPr>
              <w:t>△■/orc</w:t>
            </w:r>
          </w:p>
          <w:p w:rsidR="005740E3" w:rsidRDefault="0043194A">
            <w:pPr>
              <w:pStyle w:val="Other10"/>
              <w:spacing w:after="0" w:line="240" w:lineRule="auto"/>
              <w:ind w:firstLine="0"/>
              <w:jc w:val="center"/>
              <w:rPr>
                <w:sz w:val="14"/>
                <w:szCs w:val="14"/>
              </w:rPr>
            </w:pPr>
            <w:r>
              <w:rPr>
                <w:sz w:val="14"/>
                <w:szCs w:val="14"/>
              </w:rPr>
              <w:t>/min</w:t>
            </w:r>
          </w:p>
        </w:tc>
      </w:tr>
      <w:tr w:rsidR="005740E3">
        <w:tblPrEx>
          <w:tblCellMar>
            <w:top w:w="0" w:type="dxa"/>
            <w:bottom w:w="0" w:type="dxa"/>
          </w:tblCellMar>
        </w:tblPrEx>
        <w:trPr>
          <w:trHeight w:hRule="exact" w:val="360"/>
          <w:jc w:val="center"/>
        </w:trPr>
        <w:tc>
          <w:tcPr>
            <w:tcW w:w="1109" w:type="dxa"/>
            <w:tcBorders>
              <w:top w:val="single" w:sz="4" w:space="0" w:color="auto"/>
            </w:tcBorders>
            <w:shd w:val="clear" w:color="auto" w:fill="FFFFFF"/>
            <w:vAlign w:val="center"/>
          </w:tcPr>
          <w:p w:rsidR="005740E3" w:rsidRDefault="0043194A">
            <w:pPr>
              <w:pStyle w:val="Other10"/>
              <w:spacing w:after="0" w:line="240" w:lineRule="auto"/>
              <w:ind w:firstLine="460"/>
              <w:rPr>
                <w:sz w:val="14"/>
                <w:szCs w:val="14"/>
              </w:rPr>
            </w:pPr>
            <w:r>
              <w:rPr>
                <w:sz w:val="14"/>
                <w:szCs w:val="14"/>
                <w:lang w:val="zh-TW" w:eastAsia="zh-TW" w:bidi="zh-TW"/>
              </w:rPr>
              <w:t>50</w:t>
            </w:r>
          </w:p>
        </w:tc>
        <w:tc>
          <w:tcPr>
            <w:tcW w:w="1522"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0"/>
              <w:jc w:val="center"/>
              <w:rPr>
                <w:sz w:val="14"/>
                <w:szCs w:val="14"/>
              </w:rPr>
            </w:pPr>
            <w:r>
              <w:rPr>
                <w:sz w:val="14"/>
                <w:szCs w:val="14"/>
                <w:lang w:val="zh-TW" w:eastAsia="zh-TW" w:bidi="zh-TW"/>
              </w:rPr>
              <w:t>0</w:t>
            </w:r>
          </w:p>
        </w:tc>
        <w:tc>
          <w:tcPr>
            <w:tcW w:w="1080"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0"/>
              <w:jc w:val="center"/>
              <w:rPr>
                <w:sz w:val="14"/>
                <w:szCs w:val="14"/>
              </w:rPr>
            </w:pPr>
            <w:r>
              <w:rPr>
                <w:sz w:val="14"/>
                <w:szCs w:val="14"/>
              </w:rPr>
              <w:t>30.0</w:t>
            </w:r>
          </w:p>
        </w:tc>
        <w:tc>
          <w:tcPr>
            <w:tcW w:w="946"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380"/>
              <w:rPr>
                <w:sz w:val="14"/>
                <w:szCs w:val="14"/>
              </w:rPr>
            </w:pPr>
            <w:r>
              <w:rPr>
                <w:sz w:val="14"/>
                <w:szCs w:val="14"/>
                <w:lang w:val="zh-TW" w:eastAsia="zh-TW" w:bidi="zh-TW"/>
              </w:rPr>
              <w:t>—</w:t>
            </w:r>
          </w:p>
        </w:tc>
      </w:tr>
      <w:tr w:rsidR="005740E3">
        <w:tblPrEx>
          <w:tblCellMar>
            <w:top w:w="0" w:type="dxa"/>
            <w:bottom w:w="0" w:type="dxa"/>
          </w:tblCellMar>
        </w:tblPrEx>
        <w:trPr>
          <w:trHeight w:hRule="exact" w:val="355"/>
          <w:jc w:val="center"/>
        </w:trPr>
        <w:tc>
          <w:tcPr>
            <w:tcW w:w="1109" w:type="dxa"/>
            <w:tcBorders>
              <w:top w:val="single" w:sz="4" w:space="0" w:color="auto"/>
            </w:tcBorders>
            <w:shd w:val="clear" w:color="auto" w:fill="FFFFFF"/>
            <w:vAlign w:val="center"/>
          </w:tcPr>
          <w:p w:rsidR="005740E3" w:rsidRDefault="0043194A">
            <w:pPr>
              <w:pStyle w:val="Other10"/>
              <w:spacing w:after="0" w:line="240" w:lineRule="auto"/>
              <w:ind w:firstLine="460"/>
              <w:rPr>
                <w:sz w:val="14"/>
                <w:szCs w:val="14"/>
              </w:rPr>
            </w:pPr>
            <w:r>
              <w:rPr>
                <w:sz w:val="14"/>
                <w:szCs w:val="14"/>
                <w:lang w:val="zh-TW" w:eastAsia="zh-TW" w:bidi="zh-TW"/>
              </w:rPr>
              <w:t>40</w:t>
            </w:r>
          </w:p>
        </w:tc>
        <w:tc>
          <w:tcPr>
            <w:tcW w:w="1522"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0"/>
              <w:jc w:val="center"/>
              <w:rPr>
                <w:sz w:val="14"/>
                <w:szCs w:val="14"/>
              </w:rPr>
            </w:pPr>
            <w:r>
              <w:rPr>
                <w:sz w:val="14"/>
                <w:szCs w:val="14"/>
              </w:rPr>
              <w:t>-10</w:t>
            </w:r>
          </w:p>
        </w:tc>
        <w:tc>
          <w:tcPr>
            <w:tcW w:w="1080"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0"/>
              <w:jc w:val="center"/>
              <w:rPr>
                <w:sz w:val="14"/>
                <w:szCs w:val="14"/>
              </w:rPr>
            </w:pPr>
            <w:r>
              <w:rPr>
                <w:sz w:val="14"/>
                <w:szCs w:val="14"/>
              </w:rPr>
              <w:t xml:space="preserve">32. </w:t>
            </w:r>
            <w:r>
              <w:rPr>
                <w:sz w:val="14"/>
                <w:szCs w:val="14"/>
                <w:lang w:val="zh-TW" w:eastAsia="zh-TW" w:bidi="zh-TW"/>
              </w:rPr>
              <w:t>5</w:t>
            </w:r>
          </w:p>
        </w:tc>
        <w:tc>
          <w:tcPr>
            <w:tcW w:w="946"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300"/>
              <w:rPr>
                <w:sz w:val="14"/>
                <w:szCs w:val="14"/>
              </w:rPr>
            </w:pPr>
            <w:r>
              <w:rPr>
                <w:sz w:val="14"/>
                <w:szCs w:val="14"/>
              </w:rPr>
              <w:t>2.5</w:t>
            </w:r>
          </w:p>
        </w:tc>
      </w:tr>
      <w:tr w:rsidR="005740E3">
        <w:tblPrEx>
          <w:tblCellMar>
            <w:top w:w="0" w:type="dxa"/>
            <w:bottom w:w="0" w:type="dxa"/>
          </w:tblCellMar>
        </w:tblPrEx>
        <w:trPr>
          <w:trHeight w:hRule="exact" w:val="355"/>
          <w:jc w:val="center"/>
        </w:trPr>
        <w:tc>
          <w:tcPr>
            <w:tcW w:w="1109" w:type="dxa"/>
            <w:tcBorders>
              <w:top w:val="single" w:sz="4" w:space="0" w:color="auto"/>
            </w:tcBorders>
            <w:shd w:val="clear" w:color="auto" w:fill="FFFFFF"/>
            <w:vAlign w:val="center"/>
          </w:tcPr>
          <w:p w:rsidR="005740E3" w:rsidRDefault="0043194A">
            <w:pPr>
              <w:pStyle w:val="Other10"/>
              <w:spacing w:after="0" w:line="240" w:lineRule="auto"/>
              <w:ind w:firstLine="460"/>
              <w:rPr>
                <w:sz w:val="14"/>
                <w:szCs w:val="14"/>
              </w:rPr>
            </w:pPr>
            <w:r>
              <w:rPr>
                <w:sz w:val="14"/>
                <w:szCs w:val="14"/>
                <w:lang w:val="zh-TW" w:eastAsia="zh-TW" w:bidi="zh-TW"/>
              </w:rPr>
              <w:t>45</w:t>
            </w:r>
          </w:p>
        </w:tc>
        <w:tc>
          <w:tcPr>
            <w:tcW w:w="1522"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0"/>
              <w:jc w:val="center"/>
              <w:rPr>
                <w:sz w:val="14"/>
                <w:szCs w:val="14"/>
              </w:rPr>
            </w:pPr>
            <w:r>
              <w:rPr>
                <w:sz w:val="14"/>
                <w:szCs w:val="14"/>
              </w:rPr>
              <w:t>-5</w:t>
            </w:r>
          </w:p>
        </w:tc>
        <w:tc>
          <w:tcPr>
            <w:tcW w:w="1080"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0"/>
              <w:jc w:val="center"/>
              <w:rPr>
                <w:sz w:val="14"/>
                <w:szCs w:val="14"/>
              </w:rPr>
            </w:pPr>
            <w:r>
              <w:rPr>
                <w:sz w:val="14"/>
                <w:szCs w:val="14"/>
              </w:rPr>
              <w:t xml:space="preserve">30. </w:t>
            </w:r>
            <w:r>
              <w:rPr>
                <w:sz w:val="14"/>
                <w:szCs w:val="14"/>
                <w:lang w:val="zh-TW" w:eastAsia="zh-TW" w:bidi="zh-TW"/>
              </w:rPr>
              <w:t>5</w:t>
            </w:r>
          </w:p>
        </w:tc>
        <w:tc>
          <w:tcPr>
            <w:tcW w:w="946"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0"/>
              <w:jc w:val="center"/>
              <w:rPr>
                <w:sz w:val="14"/>
                <w:szCs w:val="14"/>
              </w:rPr>
            </w:pPr>
            <w:r>
              <w:rPr>
                <w:sz w:val="14"/>
                <w:szCs w:val="14"/>
              </w:rPr>
              <w:t xml:space="preserve">0. </w:t>
            </w:r>
            <w:r>
              <w:rPr>
                <w:sz w:val="14"/>
                <w:szCs w:val="14"/>
                <w:lang w:val="zh-TW" w:eastAsia="zh-TW" w:bidi="zh-TW"/>
              </w:rPr>
              <w:t>5</w:t>
            </w:r>
          </w:p>
        </w:tc>
      </w:tr>
      <w:tr w:rsidR="005740E3">
        <w:tblPrEx>
          <w:tblCellMar>
            <w:top w:w="0" w:type="dxa"/>
            <w:bottom w:w="0" w:type="dxa"/>
          </w:tblCellMar>
        </w:tblPrEx>
        <w:trPr>
          <w:trHeight w:hRule="exact" w:val="360"/>
          <w:jc w:val="center"/>
        </w:trPr>
        <w:tc>
          <w:tcPr>
            <w:tcW w:w="1109" w:type="dxa"/>
            <w:tcBorders>
              <w:top w:val="single" w:sz="4" w:space="0" w:color="auto"/>
            </w:tcBorders>
            <w:shd w:val="clear" w:color="auto" w:fill="FFFFFF"/>
            <w:vAlign w:val="center"/>
          </w:tcPr>
          <w:p w:rsidR="005740E3" w:rsidRDefault="0043194A">
            <w:pPr>
              <w:pStyle w:val="Other10"/>
              <w:spacing w:after="0" w:line="240" w:lineRule="auto"/>
              <w:ind w:firstLine="460"/>
              <w:rPr>
                <w:sz w:val="14"/>
                <w:szCs w:val="14"/>
              </w:rPr>
            </w:pPr>
            <w:r>
              <w:rPr>
                <w:sz w:val="14"/>
                <w:szCs w:val="14"/>
                <w:lang w:val="zh-TW" w:eastAsia="zh-TW" w:bidi="zh-TW"/>
              </w:rPr>
              <w:t>55</w:t>
            </w:r>
          </w:p>
        </w:tc>
        <w:tc>
          <w:tcPr>
            <w:tcW w:w="1522"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0"/>
              <w:jc w:val="center"/>
              <w:rPr>
                <w:sz w:val="14"/>
                <w:szCs w:val="14"/>
              </w:rPr>
            </w:pPr>
            <w:r>
              <w:rPr>
                <w:sz w:val="14"/>
                <w:szCs w:val="14"/>
                <w:lang w:val="zh-TW" w:eastAsia="zh-TW" w:bidi="zh-TW"/>
              </w:rPr>
              <w:t>5</w:t>
            </w:r>
          </w:p>
        </w:tc>
        <w:tc>
          <w:tcPr>
            <w:tcW w:w="1080"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0"/>
              <w:jc w:val="center"/>
              <w:rPr>
                <w:sz w:val="14"/>
                <w:szCs w:val="14"/>
              </w:rPr>
            </w:pPr>
            <w:r>
              <w:rPr>
                <w:sz w:val="14"/>
                <w:szCs w:val="14"/>
              </w:rPr>
              <w:t>30.0</w:t>
            </w:r>
          </w:p>
        </w:tc>
        <w:tc>
          <w:tcPr>
            <w:tcW w:w="946"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380"/>
              <w:rPr>
                <w:sz w:val="14"/>
                <w:szCs w:val="14"/>
              </w:rPr>
            </w:pPr>
            <w:r>
              <w:rPr>
                <w:sz w:val="14"/>
                <w:szCs w:val="14"/>
                <w:lang w:val="zh-TW" w:eastAsia="zh-TW" w:bidi="zh-TW"/>
              </w:rPr>
              <w:t>0</w:t>
            </w:r>
          </w:p>
        </w:tc>
      </w:tr>
      <w:tr w:rsidR="005740E3">
        <w:tblPrEx>
          <w:tblCellMar>
            <w:top w:w="0" w:type="dxa"/>
            <w:bottom w:w="0" w:type="dxa"/>
          </w:tblCellMar>
        </w:tblPrEx>
        <w:trPr>
          <w:trHeight w:hRule="exact" w:val="360"/>
          <w:jc w:val="center"/>
        </w:trPr>
        <w:tc>
          <w:tcPr>
            <w:tcW w:w="1109" w:type="dxa"/>
            <w:tcBorders>
              <w:top w:val="single" w:sz="4" w:space="0" w:color="auto"/>
            </w:tcBorders>
            <w:shd w:val="clear" w:color="auto" w:fill="FFFFFF"/>
            <w:vAlign w:val="center"/>
          </w:tcPr>
          <w:p w:rsidR="005740E3" w:rsidRDefault="0043194A">
            <w:pPr>
              <w:pStyle w:val="Other10"/>
              <w:spacing w:after="0" w:line="240" w:lineRule="auto"/>
              <w:ind w:firstLine="460"/>
              <w:rPr>
                <w:sz w:val="14"/>
                <w:szCs w:val="14"/>
              </w:rPr>
            </w:pPr>
            <w:r>
              <w:rPr>
                <w:sz w:val="14"/>
                <w:szCs w:val="14"/>
                <w:lang w:val="zh-TW" w:eastAsia="zh-TW" w:bidi="zh-TW"/>
              </w:rPr>
              <w:t>60</w:t>
            </w:r>
          </w:p>
        </w:tc>
        <w:tc>
          <w:tcPr>
            <w:tcW w:w="1522"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0"/>
              <w:jc w:val="center"/>
              <w:rPr>
                <w:sz w:val="14"/>
                <w:szCs w:val="14"/>
              </w:rPr>
            </w:pPr>
            <w:r>
              <w:rPr>
                <w:sz w:val="14"/>
                <w:szCs w:val="14"/>
                <w:lang w:val="zh-TW" w:eastAsia="zh-TW" w:bidi="zh-TW"/>
              </w:rPr>
              <w:t>10</w:t>
            </w:r>
          </w:p>
        </w:tc>
        <w:tc>
          <w:tcPr>
            <w:tcW w:w="1080"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0"/>
              <w:jc w:val="center"/>
              <w:rPr>
                <w:sz w:val="14"/>
                <w:szCs w:val="14"/>
              </w:rPr>
            </w:pPr>
            <w:r>
              <w:rPr>
                <w:sz w:val="14"/>
                <w:szCs w:val="14"/>
              </w:rPr>
              <w:t>28.0</w:t>
            </w:r>
          </w:p>
        </w:tc>
        <w:tc>
          <w:tcPr>
            <w:tcW w:w="946"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0"/>
              <w:jc w:val="center"/>
              <w:rPr>
                <w:sz w:val="14"/>
                <w:szCs w:val="14"/>
              </w:rPr>
            </w:pPr>
            <w:r>
              <w:rPr>
                <w:sz w:val="14"/>
                <w:szCs w:val="14"/>
                <w:vertAlign w:val="superscript"/>
                <w:lang w:val="zh-TW" w:eastAsia="zh-TW" w:bidi="zh-TW"/>
              </w:rPr>
              <w:t>—</w:t>
            </w:r>
            <w:r>
              <w:rPr>
                <w:sz w:val="14"/>
                <w:szCs w:val="14"/>
              </w:rPr>
              <w:t xml:space="preserve">2. </w:t>
            </w:r>
            <w:r>
              <w:rPr>
                <w:sz w:val="14"/>
                <w:szCs w:val="14"/>
                <w:lang w:val="zh-TW" w:eastAsia="zh-TW" w:bidi="zh-TW"/>
              </w:rPr>
              <w:t>0</w:t>
            </w:r>
          </w:p>
        </w:tc>
      </w:tr>
      <w:tr w:rsidR="005740E3">
        <w:tblPrEx>
          <w:tblCellMar>
            <w:top w:w="0" w:type="dxa"/>
            <w:bottom w:w="0" w:type="dxa"/>
          </w:tblCellMar>
        </w:tblPrEx>
        <w:trPr>
          <w:trHeight w:hRule="exact" w:val="307"/>
          <w:jc w:val="center"/>
        </w:trPr>
        <w:tc>
          <w:tcPr>
            <w:tcW w:w="4657" w:type="dxa"/>
            <w:gridSpan w:val="4"/>
            <w:tcBorders>
              <w:top w:val="single" w:sz="4" w:space="0" w:color="auto"/>
            </w:tcBorders>
            <w:shd w:val="clear" w:color="auto" w:fill="FFFFFF"/>
            <w:vAlign w:val="bottom"/>
          </w:tcPr>
          <w:p w:rsidR="005740E3" w:rsidRDefault="0043194A">
            <w:pPr>
              <w:pStyle w:val="Other10"/>
              <w:spacing w:after="0" w:line="240" w:lineRule="auto"/>
              <w:ind w:firstLine="380"/>
              <w:rPr>
                <w:sz w:val="17"/>
                <w:szCs w:val="17"/>
                <w:lang w:eastAsia="zh-CN"/>
              </w:rPr>
            </w:pPr>
            <w:r>
              <w:rPr>
                <w:sz w:val="17"/>
                <w:szCs w:val="17"/>
                <w:lang w:val="zh-TW" w:eastAsia="zh-TW" w:bidi="zh-TW"/>
              </w:rPr>
              <w:t>注</w:t>
            </w:r>
            <w:r>
              <w:rPr>
                <w:sz w:val="14"/>
                <w:szCs w:val="14"/>
                <w:lang w:val="zh-TW" w:eastAsia="zh-TW" w:bidi="zh-TW"/>
              </w:rPr>
              <w:t>：</w:t>
            </w:r>
            <w:r>
              <w:rPr>
                <w:sz w:val="14"/>
                <w:szCs w:val="14"/>
                <w:lang w:val="zh-TW" w:eastAsia="zh-TW" w:bidi="zh-TW"/>
              </w:rPr>
              <w:t>1</w:t>
            </w:r>
            <w:r>
              <w:rPr>
                <w:sz w:val="14"/>
                <w:szCs w:val="14"/>
                <w:lang w:val="zh-TW" w:eastAsia="zh-TW" w:bidi="zh-TW"/>
              </w:rPr>
              <w:t>）</w:t>
            </w:r>
            <w:r>
              <w:rPr>
                <w:sz w:val="17"/>
                <w:szCs w:val="17"/>
                <w:lang w:val="zh-TW" w:eastAsia="zh-TW" w:bidi="zh-TW"/>
              </w:rPr>
              <w:t>该值为</w:t>
            </w:r>
            <w:r>
              <w:rPr>
                <w:sz w:val="14"/>
                <w:szCs w:val="14"/>
                <w:lang w:val="zh-TW" w:eastAsia="zh-TW" w:bidi="zh-TW"/>
              </w:rPr>
              <w:t>6</w:t>
            </w:r>
            <w:r>
              <w:rPr>
                <w:sz w:val="17"/>
                <w:szCs w:val="17"/>
                <w:lang w:val="zh-TW" w:eastAsia="zh-TW" w:bidi="zh-TW"/>
              </w:rPr>
              <w:t>次试验</w:t>
            </w:r>
            <w:proofErr w:type="spellStart"/>
            <w:r>
              <w:rPr>
                <w:sz w:val="14"/>
                <w:szCs w:val="14"/>
                <w:lang w:eastAsia="zh-CN"/>
              </w:rPr>
              <w:t>Zorr</w:t>
            </w:r>
            <w:proofErr w:type="spellEnd"/>
            <w:r>
              <w:rPr>
                <w:sz w:val="17"/>
                <w:szCs w:val="17"/>
                <w:lang w:val="zh-TW" w:eastAsia="zh-TW" w:bidi="zh-TW"/>
              </w:rPr>
              <w:t>的平均值。</w:t>
            </w:r>
          </w:p>
        </w:tc>
      </w:tr>
    </w:tbl>
    <w:p w:rsidR="005740E3" w:rsidRDefault="005740E3">
      <w:pPr>
        <w:spacing w:after="79" w:line="1" w:lineRule="exact"/>
        <w:rPr>
          <w:lang w:eastAsia="zh-CN"/>
        </w:rPr>
      </w:pPr>
    </w:p>
    <w:p w:rsidR="005740E3" w:rsidRDefault="0043194A">
      <w:pPr>
        <w:pStyle w:val="Bodytext10"/>
        <w:spacing w:after="80" w:line="311" w:lineRule="exact"/>
        <w:ind w:firstLine="0"/>
        <w:jc w:val="both"/>
      </w:pPr>
      <w:r>
        <w:t>的温度波动会使测量结果产生</w:t>
      </w:r>
      <w:r>
        <w:rPr>
          <w:rFonts w:ascii="Times New Roman" w:eastAsia="Times New Roman" w:hAnsi="Times New Roman" w:cs="Times New Roman"/>
          <w:sz w:val="20"/>
          <w:szCs w:val="20"/>
        </w:rPr>
        <w:t>±5%</w:t>
      </w:r>
      <w:r>
        <w:t>的偏差，士</w:t>
      </w:r>
      <w:r>
        <w:t xml:space="preserve"> </w:t>
      </w:r>
      <w:r>
        <w:rPr>
          <w:rFonts w:ascii="Times New Roman" w:eastAsia="Times New Roman" w:hAnsi="Times New Roman" w:cs="Times New Roman"/>
          <w:sz w:val="20"/>
          <w:szCs w:val="20"/>
          <w:lang w:val="en-US" w:eastAsia="zh-CN" w:bidi="en-US"/>
        </w:rPr>
        <w:t xml:space="preserve">0. </w:t>
      </w: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lang w:val="en-US" w:eastAsia="zh-CN" w:bidi="en-US"/>
        </w:rPr>
        <w:t>'C</w:t>
      </w:r>
      <w:r>
        <w:t>是仪器容易控制的温度波动范围，而且足以减少</w:t>
      </w:r>
      <w:r>
        <w:t xml:space="preserve"> </w:t>
      </w:r>
      <w:r>
        <w:t>在测试中</w:t>
      </w:r>
      <w:r>
        <w:rPr>
          <w:rFonts w:ascii="Times New Roman" w:eastAsia="Times New Roman" w:hAnsi="Times New Roman" w:cs="Times New Roman"/>
          <w:sz w:val="20"/>
          <w:szCs w:val="20"/>
          <w:lang w:val="en-US" w:eastAsia="zh-CN" w:bidi="en-US"/>
        </w:rPr>
        <w:t>OIT</w:t>
      </w:r>
      <w:r>
        <w:t>的变化。表</w:t>
      </w:r>
      <w:r>
        <w:rPr>
          <w:rFonts w:ascii="Times New Roman" w:eastAsia="Times New Roman" w:hAnsi="Times New Roman" w:cs="Times New Roman"/>
          <w:sz w:val="20"/>
          <w:szCs w:val="20"/>
        </w:rPr>
        <w:t>2</w:t>
      </w:r>
      <w:r>
        <w:t>为我们所做试验的结</w:t>
      </w:r>
      <w:r>
        <w:t xml:space="preserve"> </w:t>
      </w:r>
      <w:r>
        <w:t>果。从表中可以看出：以</w:t>
      </w:r>
      <w:r>
        <w:rPr>
          <w:rFonts w:ascii="Times New Roman" w:eastAsia="Times New Roman" w:hAnsi="Times New Roman" w:cs="Times New Roman"/>
          <w:sz w:val="20"/>
          <w:szCs w:val="20"/>
        </w:rPr>
        <w:t xml:space="preserve">200 </w:t>
      </w:r>
      <w:r>
        <w:rPr>
          <w:rFonts w:ascii="Times New Roman" w:eastAsia="Times New Roman" w:hAnsi="Times New Roman" w:cs="Times New Roman"/>
          <w:sz w:val="20"/>
          <w:szCs w:val="20"/>
          <w:lang w:val="en-US" w:eastAsia="zh-CN" w:bidi="en-US"/>
        </w:rPr>
        <w:t>'C</w:t>
      </w:r>
      <w:r>
        <w:t>为基准</w:t>
      </w:r>
      <w:r>
        <w:rPr>
          <w:rFonts w:ascii="Times New Roman" w:eastAsia="Times New Roman" w:hAnsi="Times New Roman" w:cs="Times New Roman"/>
          <w:sz w:val="20"/>
          <w:szCs w:val="20"/>
          <w:lang w:val="en-US" w:eastAsia="zh-CN" w:bidi="en-US"/>
        </w:rPr>
        <w:t>,+0.3 °C</w:t>
      </w:r>
      <w:r>
        <w:t>的</w:t>
      </w:r>
      <w:r>
        <w:t xml:space="preserve"> </w:t>
      </w:r>
      <w:r>
        <w:t>温度波动下，测量结果的相对偏差不大于</w:t>
      </w:r>
      <w:r>
        <w:rPr>
          <w:rFonts w:ascii="Times New Roman" w:eastAsia="Times New Roman" w:hAnsi="Times New Roman" w:cs="Times New Roman"/>
          <w:sz w:val="20"/>
          <w:szCs w:val="20"/>
          <w:lang w:val="en-US" w:eastAsia="zh-CN" w:bidi="en-US"/>
        </w:rPr>
        <w:t xml:space="preserve">1. </w:t>
      </w:r>
      <w:r>
        <w:rPr>
          <w:rFonts w:ascii="Times New Roman" w:eastAsia="Times New Roman" w:hAnsi="Times New Roman" w:cs="Times New Roman"/>
          <w:sz w:val="20"/>
          <w:szCs w:val="20"/>
        </w:rPr>
        <w:t>7%</w:t>
      </w:r>
      <w:r>
        <w:rPr>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eastAsia="zh-CN" w:bidi="en-US"/>
        </w:rPr>
        <w:t>+ 0.5 °C</w:t>
      </w:r>
      <w:r>
        <w:t>的温度波动下，测试结果的相对偏差为</w:t>
      </w:r>
      <w:r>
        <w:t xml:space="preserve"> </w:t>
      </w:r>
      <w:r>
        <w:rPr>
          <w:rFonts w:ascii="Times New Roman" w:eastAsia="Times New Roman" w:hAnsi="Times New Roman" w:cs="Times New Roman"/>
          <w:sz w:val="20"/>
          <w:szCs w:val="20"/>
        </w:rPr>
        <w:t>3.3%</w:t>
      </w:r>
      <w:r>
        <w:rPr>
          <w:sz w:val="20"/>
          <w:szCs w:val="20"/>
        </w:rPr>
        <w:t>〜</w:t>
      </w:r>
      <w:r>
        <w:rPr>
          <w:rFonts w:ascii="Times New Roman" w:eastAsia="Times New Roman" w:hAnsi="Times New Roman" w:cs="Times New Roman"/>
          <w:sz w:val="20"/>
          <w:szCs w:val="20"/>
        </w:rPr>
        <w:t>5.0%</w:t>
      </w:r>
      <w:r>
        <w:rPr>
          <w:sz w:val="20"/>
          <w:szCs w:val="20"/>
        </w:rPr>
        <w:t>；</w:t>
      </w:r>
      <w:r>
        <w:t>而</w:t>
      </w:r>
      <w:r>
        <w:rPr>
          <w:rFonts w:ascii="Times New Roman" w:eastAsia="Times New Roman" w:hAnsi="Times New Roman" w:cs="Times New Roman"/>
          <w:sz w:val="20"/>
          <w:szCs w:val="20"/>
          <w:lang w:val="en-US" w:eastAsia="zh-CN" w:bidi="en-US"/>
        </w:rPr>
        <w:t>±1.0 °C</w:t>
      </w:r>
      <w:r>
        <w:t>的温度遊动下，测试结果</w:t>
      </w:r>
      <w:r>
        <w:t xml:space="preserve"> </w:t>
      </w:r>
      <w:r>
        <w:t>的相对偏差则达</w:t>
      </w:r>
      <w:r>
        <w:rPr>
          <w:rFonts w:ascii="Times New Roman" w:eastAsia="Times New Roman" w:hAnsi="Times New Roman" w:cs="Times New Roman"/>
          <w:sz w:val="20"/>
          <w:szCs w:val="20"/>
          <w:lang w:val="en-US" w:eastAsia="zh-CN" w:bidi="en-US"/>
        </w:rPr>
        <w:t xml:space="preserve">6. </w:t>
      </w:r>
      <w:r>
        <w:rPr>
          <w:rFonts w:ascii="Times New Roman" w:eastAsia="Times New Roman" w:hAnsi="Times New Roman" w:cs="Times New Roman"/>
          <w:sz w:val="20"/>
          <w:szCs w:val="20"/>
        </w:rPr>
        <w:t>7%</w:t>
      </w:r>
      <w:r>
        <w:rPr>
          <w:sz w:val="20"/>
          <w:szCs w:val="20"/>
        </w:rPr>
        <w:t>〜</w:t>
      </w:r>
      <w:r>
        <w:rPr>
          <w:rFonts w:ascii="Times New Roman" w:eastAsia="Times New Roman" w:hAnsi="Times New Roman" w:cs="Times New Roman"/>
          <w:sz w:val="20"/>
          <w:szCs w:val="20"/>
          <w:lang w:val="en-US" w:eastAsia="en-US" w:bidi="en-US"/>
        </w:rPr>
        <w:t xml:space="preserve">10. </w:t>
      </w:r>
      <w:r>
        <w:rPr>
          <w:rFonts w:ascii="Times New Roman" w:eastAsia="Times New Roman" w:hAnsi="Times New Roman" w:cs="Times New Roman"/>
          <w:sz w:val="20"/>
          <w:szCs w:val="20"/>
        </w:rPr>
        <w:t>0%</w:t>
      </w:r>
      <w:r>
        <w:t>。因此准确的温度</w:t>
      </w:r>
      <w:r>
        <w:t xml:space="preserve"> </w:t>
      </w:r>
      <w:r>
        <w:t>控制对于</w:t>
      </w:r>
      <w:r>
        <w:rPr>
          <w:rFonts w:ascii="Times New Roman" w:eastAsia="Times New Roman" w:hAnsi="Times New Roman" w:cs="Times New Roman"/>
          <w:sz w:val="20"/>
          <w:szCs w:val="20"/>
          <w:lang w:val="en-US" w:eastAsia="zh-CN" w:bidi="en-US"/>
        </w:rPr>
        <w:t>OIT</w:t>
      </w:r>
      <w:r>
        <w:t>的测量准确性非常重要。</w:t>
      </w:r>
    </w:p>
    <w:p w:rsidR="005740E3" w:rsidRDefault="0043194A">
      <w:pPr>
        <w:pStyle w:val="Tablecaption10"/>
        <w:ind w:left="1138" w:firstLine="0"/>
      </w:pPr>
      <w:r>
        <w:t>表</w:t>
      </w:r>
      <w:r>
        <w:rPr>
          <w:rFonts w:ascii="Times New Roman" w:eastAsia="Times New Roman" w:hAnsi="Times New Roman" w:cs="Times New Roman"/>
          <w:sz w:val="16"/>
          <w:szCs w:val="16"/>
        </w:rPr>
        <w:t>2</w:t>
      </w:r>
      <w:r>
        <w:t>温度波动对</w:t>
      </w:r>
      <w:r>
        <w:rPr>
          <w:rFonts w:ascii="Times New Roman" w:eastAsia="Times New Roman" w:hAnsi="Times New Roman" w:cs="Times New Roman"/>
          <w:sz w:val="16"/>
          <w:szCs w:val="16"/>
          <w:lang w:val="en-US" w:eastAsia="zh-CN" w:bidi="en-US"/>
        </w:rPr>
        <w:t>OIT</w:t>
      </w:r>
      <w:r>
        <w:t>的影响</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984"/>
        <w:gridCol w:w="1440"/>
        <w:gridCol w:w="1214"/>
      </w:tblGrid>
      <w:tr w:rsidR="005740E3">
        <w:tblPrEx>
          <w:tblCellMar>
            <w:top w:w="0" w:type="dxa"/>
            <w:bottom w:w="0" w:type="dxa"/>
          </w:tblCellMar>
        </w:tblPrEx>
        <w:trPr>
          <w:trHeight w:hRule="exact" w:val="730"/>
          <w:jc w:val="center"/>
        </w:trPr>
        <w:tc>
          <w:tcPr>
            <w:tcW w:w="998" w:type="dxa"/>
            <w:tcBorders>
              <w:top w:val="single" w:sz="4" w:space="0" w:color="auto"/>
            </w:tcBorders>
            <w:shd w:val="clear" w:color="auto" w:fill="FFFFFF"/>
            <w:vAlign w:val="center"/>
          </w:tcPr>
          <w:p w:rsidR="005740E3" w:rsidRDefault="0043194A">
            <w:pPr>
              <w:pStyle w:val="Other10"/>
              <w:spacing w:after="60" w:line="240" w:lineRule="auto"/>
              <w:ind w:firstLine="0"/>
              <w:jc w:val="center"/>
              <w:rPr>
                <w:sz w:val="17"/>
                <w:szCs w:val="17"/>
              </w:rPr>
            </w:pPr>
            <w:r>
              <w:rPr>
                <w:sz w:val="17"/>
                <w:szCs w:val="17"/>
                <w:lang w:val="zh-TW" w:eastAsia="zh-TW" w:bidi="zh-TW"/>
              </w:rPr>
              <w:t>温度</w:t>
            </w:r>
          </w:p>
          <w:p w:rsidR="005740E3" w:rsidRDefault="0043194A">
            <w:pPr>
              <w:pStyle w:val="Other10"/>
              <w:spacing w:after="0" w:line="240" w:lineRule="auto"/>
              <w:ind w:firstLine="280"/>
              <w:rPr>
                <w:sz w:val="17"/>
                <w:szCs w:val="17"/>
              </w:rPr>
            </w:pPr>
            <w:r>
              <w:rPr>
                <w:sz w:val="17"/>
                <w:szCs w:val="17"/>
              </w:rPr>
              <w:t>T/°C</w:t>
            </w:r>
          </w:p>
        </w:tc>
        <w:tc>
          <w:tcPr>
            <w:tcW w:w="984" w:type="dxa"/>
            <w:tcBorders>
              <w:top w:val="single" w:sz="4" w:space="0" w:color="auto"/>
              <w:left w:val="single" w:sz="4" w:space="0" w:color="auto"/>
            </w:tcBorders>
            <w:shd w:val="clear" w:color="auto" w:fill="FFFFFF"/>
            <w:vAlign w:val="center"/>
          </w:tcPr>
          <w:p w:rsidR="005740E3" w:rsidRDefault="0043194A">
            <w:pPr>
              <w:pStyle w:val="Other10"/>
              <w:spacing w:after="60" w:line="240" w:lineRule="auto"/>
              <w:ind w:firstLine="0"/>
              <w:jc w:val="center"/>
              <w:rPr>
                <w:sz w:val="17"/>
                <w:szCs w:val="17"/>
              </w:rPr>
            </w:pPr>
            <w:r>
              <w:rPr>
                <w:sz w:val="17"/>
                <w:szCs w:val="17"/>
                <w:lang w:val="zh-TW" w:eastAsia="zh-TW" w:bidi="zh-TW"/>
              </w:rPr>
              <w:t>温度波动</w:t>
            </w:r>
          </w:p>
          <w:p w:rsidR="005740E3" w:rsidRDefault="0043194A">
            <w:pPr>
              <w:pStyle w:val="Other10"/>
              <w:spacing w:after="0" w:line="240" w:lineRule="auto"/>
              <w:ind w:firstLine="0"/>
              <w:jc w:val="center"/>
              <w:rPr>
                <w:sz w:val="17"/>
                <w:szCs w:val="17"/>
              </w:rPr>
            </w:pPr>
            <w:r>
              <w:rPr>
                <w:sz w:val="17"/>
                <w:szCs w:val="17"/>
              </w:rPr>
              <w:t>△77 "C</w:t>
            </w:r>
          </w:p>
        </w:tc>
        <w:tc>
          <w:tcPr>
            <w:tcW w:w="1440" w:type="dxa"/>
            <w:tcBorders>
              <w:top w:val="single" w:sz="4" w:space="0" w:color="auto"/>
              <w:left w:val="single" w:sz="4" w:space="0" w:color="auto"/>
            </w:tcBorders>
            <w:shd w:val="clear" w:color="auto" w:fill="FFFFFF"/>
            <w:vAlign w:val="center"/>
          </w:tcPr>
          <w:p w:rsidR="005740E3" w:rsidRDefault="0043194A">
            <w:pPr>
              <w:pStyle w:val="Other10"/>
              <w:spacing w:after="80" w:line="240" w:lineRule="auto"/>
              <w:ind w:firstLine="0"/>
              <w:rPr>
                <w:sz w:val="17"/>
                <w:szCs w:val="17"/>
              </w:rPr>
            </w:pPr>
            <w:r>
              <w:rPr>
                <w:sz w:val="17"/>
                <w:szCs w:val="17"/>
                <w:lang w:val="zh-TW" w:eastAsia="zh-TW" w:bidi="zh-TW"/>
              </w:rPr>
              <w:t>平均氧化诱导期</w:t>
            </w:r>
          </w:p>
          <w:p w:rsidR="005740E3" w:rsidRDefault="0043194A">
            <w:pPr>
              <w:pStyle w:val="Other10"/>
              <w:spacing w:after="0" w:line="240" w:lineRule="auto"/>
              <w:ind w:firstLine="0"/>
              <w:jc w:val="center"/>
              <w:rPr>
                <w:sz w:val="16"/>
                <w:szCs w:val="16"/>
              </w:rPr>
            </w:pPr>
            <w:proofErr w:type="spellStart"/>
            <w:r>
              <w:rPr>
                <w:rFonts w:ascii="Times New Roman" w:eastAsia="Times New Roman" w:hAnsi="Times New Roman" w:cs="Times New Roman"/>
                <w:sz w:val="16"/>
                <w:szCs w:val="16"/>
              </w:rPr>
              <w:t>ZoiT</w:t>
            </w:r>
            <w:proofErr w:type="spellEnd"/>
            <w:r>
              <w:rPr>
                <w:rFonts w:ascii="Times New Roman" w:eastAsia="Times New Roman" w:hAnsi="Times New Roman" w:cs="Times New Roman"/>
                <w:sz w:val="16"/>
                <w:szCs w:val="16"/>
              </w:rPr>
              <w:t>/min^</w:t>
            </w:r>
          </w:p>
        </w:tc>
        <w:tc>
          <w:tcPr>
            <w:tcW w:w="1214" w:type="dxa"/>
            <w:tcBorders>
              <w:top w:val="single" w:sz="4" w:space="0" w:color="auto"/>
              <w:left w:val="single" w:sz="4" w:space="0" w:color="auto"/>
            </w:tcBorders>
            <w:shd w:val="clear" w:color="auto" w:fill="FFFFFF"/>
            <w:vAlign w:val="center"/>
          </w:tcPr>
          <w:p w:rsidR="005740E3" w:rsidRDefault="0043194A">
            <w:pPr>
              <w:pStyle w:val="Other10"/>
              <w:spacing w:after="60" w:line="240" w:lineRule="auto"/>
              <w:ind w:firstLine="0"/>
              <w:jc w:val="center"/>
              <w:rPr>
                <w:sz w:val="17"/>
                <w:szCs w:val="17"/>
              </w:rPr>
            </w:pPr>
            <w:r>
              <w:rPr>
                <w:sz w:val="17"/>
                <w:szCs w:val="17"/>
                <w:lang w:val="zh-TW" w:eastAsia="zh-TW" w:bidi="zh-TW"/>
              </w:rPr>
              <w:t>相对偏差</w:t>
            </w:r>
          </w:p>
          <w:p w:rsidR="005740E3" w:rsidRDefault="0043194A">
            <w:pPr>
              <w:pStyle w:val="Other10"/>
              <w:spacing w:after="0" w:line="240" w:lineRule="auto"/>
              <w:ind w:firstLine="0"/>
              <w:jc w:val="center"/>
              <w:rPr>
                <w:sz w:val="17"/>
                <w:szCs w:val="17"/>
              </w:rPr>
            </w:pPr>
            <w:r>
              <w:rPr>
                <w:sz w:val="17"/>
                <w:szCs w:val="17"/>
                <w:lang w:val="zh-TW" w:eastAsia="zh-TW" w:bidi="zh-TW"/>
              </w:rPr>
              <w:t>#%</w:t>
            </w:r>
            <w:r>
              <w:rPr>
                <w:sz w:val="17"/>
                <w:szCs w:val="17"/>
                <w:lang w:val="zh-TW" w:eastAsia="zh-TW" w:bidi="zh-TW"/>
              </w:rPr>
              <w:t>幻</w:t>
            </w:r>
          </w:p>
        </w:tc>
      </w:tr>
      <w:tr w:rsidR="005740E3">
        <w:tblPrEx>
          <w:tblCellMar>
            <w:top w:w="0" w:type="dxa"/>
            <w:bottom w:w="0" w:type="dxa"/>
          </w:tblCellMar>
        </w:tblPrEx>
        <w:trPr>
          <w:trHeight w:hRule="exact" w:val="355"/>
          <w:jc w:val="center"/>
        </w:trPr>
        <w:tc>
          <w:tcPr>
            <w:tcW w:w="998" w:type="dxa"/>
            <w:tcBorders>
              <w:top w:val="single" w:sz="4" w:space="0" w:color="auto"/>
            </w:tcBorders>
            <w:shd w:val="clear" w:color="auto" w:fill="FFFFFF"/>
            <w:vAlign w:val="center"/>
          </w:tcPr>
          <w:p w:rsidR="005740E3" w:rsidRDefault="0043194A">
            <w:pPr>
              <w:pStyle w:val="Other10"/>
              <w:spacing w:after="0" w:line="240" w:lineRule="auto"/>
              <w:ind w:firstLine="280"/>
              <w:rPr>
                <w:sz w:val="14"/>
                <w:szCs w:val="14"/>
              </w:rPr>
            </w:pPr>
            <w:r>
              <w:rPr>
                <w:sz w:val="14"/>
                <w:szCs w:val="14"/>
              </w:rPr>
              <w:t>200.0</w:t>
            </w:r>
          </w:p>
        </w:tc>
        <w:tc>
          <w:tcPr>
            <w:tcW w:w="984"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420"/>
              <w:rPr>
                <w:sz w:val="14"/>
                <w:szCs w:val="14"/>
              </w:rPr>
            </w:pPr>
            <w:r>
              <w:rPr>
                <w:sz w:val="14"/>
                <w:szCs w:val="14"/>
                <w:lang w:val="zh-TW" w:eastAsia="zh-TW" w:bidi="zh-TW"/>
              </w:rPr>
              <w:t>0</w:t>
            </w:r>
          </w:p>
        </w:tc>
        <w:tc>
          <w:tcPr>
            <w:tcW w:w="1440"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520"/>
              <w:rPr>
                <w:sz w:val="14"/>
                <w:szCs w:val="14"/>
              </w:rPr>
            </w:pPr>
            <w:r>
              <w:rPr>
                <w:sz w:val="14"/>
                <w:szCs w:val="14"/>
              </w:rPr>
              <w:t xml:space="preserve">30. </w:t>
            </w:r>
            <w:r>
              <w:rPr>
                <w:sz w:val="14"/>
                <w:szCs w:val="14"/>
                <w:lang w:val="zh-TW" w:eastAsia="zh-TW" w:bidi="zh-TW"/>
              </w:rPr>
              <w:t>0</w:t>
            </w:r>
          </w:p>
        </w:tc>
        <w:tc>
          <w:tcPr>
            <w:tcW w:w="1214"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520"/>
              <w:jc w:val="both"/>
              <w:rPr>
                <w:sz w:val="14"/>
                <w:szCs w:val="14"/>
              </w:rPr>
            </w:pPr>
            <w:r>
              <w:rPr>
                <w:sz w:val="14"/>
                <w:szCs w:val="14"/>
                <w:lang w:val="zh-TW" w:eastAsia="zh-TW" w:bidi="zh-TW"/>
              </w:rPr>
              <w:t>—</w:t>
            </w:r>
          </w:p>
        </w:tc>
      </w:tr>
      <w:tr w:rsidR="005740E3">
        <w:tblPrEx>
          <w:tblCellMar>
            <w:top w:w="0" w:type="dxa"/>
            <w:bottom w:w="0" w:type="dxa"/>
          </w:tblCellMar>
        </w:tblPrEx>
        <w:trPr>
          <w:trHeight w:hRule="exact" w:val="355"/>
          <w:jc w:val="center"/>
        </w:trPr>
        <w:tc>
          <w:tcPr>
            <w:tcW w:w="998" w:type="dxa"/>
            <w:tcBorders>
              <w:top w:val="single" w:sz="4" w:space="0" w:color="auto"/>
            </w:tcBorders>
            <w:shd w:val="clear" w:color="auto" w:fill="FFFFFF"/>
            <w:vAlign w:val="center"/>
          </w:tcPr>
          <w:p w:rsidR="005740E3" w:rsidRDefault="0043194A">
            <w:pPr>
              <w:pStyle w:val="Other10"/>
              <w:spacing w:after="0" w:line="240" w:lineRule="auto"/>
              <w:ind w:firstLine="280"/>
              <w:rPr>
                <w:sz w:val="14"/>
                <w:szCs w:val="14"/>
              </w:rPr>
            </w:pPr>
            <w:r>
              <w:rPr>
                <w:sz w:val="14"/>
                <w:szCs w:val="14"/>
              </w:rPr>
              <w:t>199.0</w:t>
            </w:r>
          </w:p>
        </w:tc>
        <w:tc>
          <w:tcPr>
            <w:tcW w:w="984"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0"/>
              <w:jc w:val="center"/>
              <w:rPr>
                <w:sz w:val="14"/>
                <w:szCs w:val="14"/>
              </w:rPr>
            </w:pPr>
            <w:r>
              <w:rPr>
                <w:sz w:val="14"/>
                <w:szCs w:val="14"/>
              </w:rPr>
              <w:t>-1.0</w:t>
            </w:r>
          </w:p>
        </w:tc>
        <w:tc>
          <w:tcPr>
            <w:tcW w:w="1440"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520"/>
              <w:rPr>
                <w:sz w:val="14"/>
                <w:szCs w:val="14"/>
              </w:rPr>
            </w:pPr>
            <w:r>
              <w:rPr>
                <w:sz w:val="14"/>
                <w:szCs w:val="14"/>
              </w:rPr>
              <w:t xml:space="preserve">33. </w:t>
            </w:r>
            <w:r>
              <w:rPr>
                <w:sz w:val="14"/>
                <w:szCs w:val="14"/>
                <w:lang w:val="zh-TW" w:eastAsia="zh-TW" w:bidi="zh-TW"/>
              </w:rPr>
              <w:t>0</w:t>
            </w:r>
          </w:p>
        </w:tc>
        <w:tc>
          <w:tcPr>
            <w:tcW w:w="1214"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rPr>
                <w:sz w:val="14"/>
                <w:szCs w:val="14"/>
              </w:rPr>
            </w:pPr>
            <w:r>
              <w:rPr>
                <w:sz w:val="14"/>
                <w:szCs w:val="14"/>
              </w:rPr>
              <w:t>10.0</w:t>
            </w:r>
          </w:p>
        </w:tc>
      </w:tr>
      <w:tr w:rsidR="005740E3">
        <w:tblPrEx>
          <w:tblCellMar>
            <w:top w:w="0" w:type="dxa"/>
            <w:bottom w:w="0" w:type="dxa"/>
          </w:tblCellMar>
        </w:tblPrEx>
        <w:trPr>
          <w:trHeight w:hRule="exact" w:val="355"/>
          <w:jc w:val="center"/>
        </w:trPr>
        <w:tc>
          <w:tcPr>
            <w:tcW w:w="998" w:type="dxa"/>
            <w:tcBorders>
              <w:top w:val="single" w:sz="4" w:space="0" w:color="auto"/>
            </w:tcBorders>
            <w:shd w:val="clear" w:color="auto" w:fill="FFFFFF"/>
            <w:vAlign w:val="center"/>
          </w:tcPr>
          <w:p w:rsidR="005740E3" w:rsidRDefault="0043194A">
            <w:pPr>
              <w:pStyle w:val="Other10"/>
              <w:spacing w:after="0" w:line="240" w:lineRule="auto"/>
              <w:ind w:firstLine="280"/>
              <w:rPr>
                <w:sz w:val="14"/>
                <w:szCs w:val="14"/>
              </w:rPr>
            </w:pPr>
            <w:r>
              <w:rPr>
                <w:sz w:val="14"/>
                <w:szCs w:val="14"/>
              </w:rPr>
              <w:t xml:space="preserve">199. </w:t>
            </w:r>
            <w:r>
              <w:rPr>
                <w:sz w:val="14"/>
                <w:szCs w:val="14"/>
                <w:lang w:val="zh-TW" w:eastAsia="zh-TW" w:bidi="zh-TW"/>
              </w:rPr>
              <w:t>5</w:t>
            </w:r>
          </w:p>
        </w:tc>
        <w:tc>
          <w:tcPr>
            <w:tcW w:w="984"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0"/>
              <w:jc w:val="center"/>
              <w:rPr>
                <w:sz w:val="14"/>
                <w:szCs w:val="14"/>
              </w:rPr>
            </w:pPr>
            <w:r>
              <w:rPr>
                <w:sz w:val="14"/>
                <w:szCs w:val="14"/>
              </w:rPr>
              <w:t xml:space="preserve">—0. </w:t>
            </w:r>
            <w:r>
              <w:rPr>
                <w:sz w:val="14"/>
                <w:szCs w:val="14"/>
                <w:lang w:val="zh-TW" w:eastAsia="zh-TW" w:bidi="zh-TW"/>
              </w:rPr>
              <w:t>5</w:t>
            </w:r>
          </w:p>
        </w:tc>
        <w:tc>
          <w:tcPr>
            <w:tcW w:w="1440"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520"/>
              <w:rPr>
                <w:sz w:val="14"/>
                <w:szCs w:val="14"/>
              </w:rPr>
            </w:pPr>
            <w:r>
              <w:rPr>
                <w:sz w:val="14"/>
                <w:szCs w:val="14"/>
              </w:rPr>
              <w:t>31.5</w:t>
            </w:r>
          </w:p>
        </w:tc>
        <w:tc>
          <w:tcPr>
            <w:tcW w:w="1214"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rPr>
                <w:sz w:val="14"/>
                <w:szCs w:val="14"/>
              </w:rPr>
            </w:pPr>
            <w:r>
              <w:rPr>
                <w:sz w:val="14"/>
                <w:szCs w:val="14"/>
              </w:rPr>
              <w:t xml:space="preserve">5. </w:t>
            </w:r>
            <w:r>
              <w:rPr>
                <w:sz w:val="14"/>
                <w:szCs w:val="14"/>
                <w:lang w:val="zh-TW" w:eastAsia="zh-TW" w:bidi="zh-TW"/>
              </w:rPr>
              <w:t>0</w:t>
            </w:r>
          </w:p>
        </w:tc>
      </w:tr>
      <w:tr w:rsidR="005740E3">
        <w:tblPrEx>
          <w:tblCellMar>
            <w:top w:w="0" w:type="dxa"/>
            <w:bottom w:w="0" w:type="dxa"/>
          </w:tblCellMar>
        </w:tblPrEx>
        <w:trPr>
          <w:trHeight w:hRule="exact" w:val="360"/>
          <w:jc w:val="center"/>
        </w:trPr>
        <w:tc>
          <w:tcPr>
            <w:tcW w:w="998" w:type="dxa"/>
            <w:tcBorders>
              <w:top w:val="single" w:sz="4" w:space="0" w:color="auto"/>
            </w:tcBorders>
            <w:shd w:val="clear" w:color="auto" w:fill="FFFFFF"/>
            <w:vAlign w:val="center"/>
          </w:tcPr>
          <w:p w:rsidR="005740E3" w:rsidRDefault="0043194A">
            <w:pPr>
              <w:pStyle w:val="Other10"/>
              <w:spacing w:after="0" w:line="240" w:lineRule="auto"/>
              <w:ind w:firstLine="280"/>
              <w:rPr>
                <w:sz w:val="14"/>
                <w:szCs w:val="14"/>
              </w:rPr>
            </w:pPr>
            <w:r>
              <w:rPr>
                <w:sz w:val="14"/>
                <w:szCs w:val="14"/>
              </w:rPr>
              <w:t>199.7</w:t>
            </w:r>
          </w:p>
        </w:tc>
        <w:tc>
          <w:tcPr>
            <w:tcW w:w="984"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0"/>
              <w:jc w:val="center"/>
              <w:rPr>
                <w:sz w:val="14"/>
                <w:szCs w:val="14"/>
              </w:rPr>
            </w:pPr>
            <w:r>
              <w:rPr>
                <w:sz w:val="14"/>
                <w:szCs w:val="14"/>
                <w:lang w:val="zh-CN" w:eastAsia="zh-CN" w:bidi="zh-CN"/>
              </w:rPr>
              <w:t>—</w:t>
            </w:r>
            <w:r>
              <w:rPr>
                <w:sz w:val="14"/>
                <w:szCs w:val="14"/>
              </w:rPr>
              <w:t xml:space="preserve">0. </w:t>
            </w:r>
            <w:r>
              <w:rPr>
                <w:sz w:val="14"/>
                <w:szCs w:val="14"/>
                <w:lang w:val="zh-TW" w:eastAsia="zh-TW" w:bidi="zh-TW"/>
              </w:rPr>
              <w:t>3</w:t>
            </w:r>
          </w:p>
        </w:tc>
        <w:tc>
          <w:tcPr>
            <w:tcW w:w="1440"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520"/>
              <w:rPr>
                <w:sz w:val="14"/>
                <w:szCs w:val="14"/>
              </w:rPr>
            </w:pPr>
            <w:r>
              <w:rPr>
                <w:sz w:val="14"/>
                <w:szCs w:val="14"/>
              </w:rPr>
              <w:t>30.0</w:t>
            </w:r>
          </w:p>
        </w:tc>
        <w:tc>
          <w:tcPr>
            <w:tcW w:w="1214"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520"/>
              <w:rPr>
                <w:sz w:val="14"/>
                <w:szCs w:val="14"/>
              </w:rPr>
            </w:pPr>
            <w:r>
              <w:rPr>
                <w:sz w:val="14"/>
                <w:szCs w:val="14"/>
                <w:lang w:val="zh-TW" w:eastAsia="zh-TW" w:bidi="zh-TW"/>
              </w:rPr>
              <w:t>0</w:t>
            </w:r>
          </w:p>
        </w:tc>
      </w:tr>
      <w:tr w:rsidR="005740E3">
        <w:tblPrEx>
          <w:tblCellMar>
            <w:top w:w="0" w:type="dxa"/>
            <w:bottom w:w="0" w:type="dxa"/>
          </w:tblCellMar>
        </w:tblPrEx>
        <w:trPr>
          <w:trHeight w:hRule="exact" w:val="360"/>
          <w:jc w:val="center"/>
        </w:trPr>
        <w:tc>
          <w:tcPr>
            <w:tcW w:w="998" w:type="dxa"/>
            <w:tcBorders>
              <w:top w:val="single" w:sz="4" w:space="0" w:color="auto"/>
            </w:tcBorders>
            <w:shd w:val="clear" w:color="auto" w:fill="FFFFFF"/>
            <w:vAlign w:val="center"/>
          </w:tcPr>
          <w:p w:rsidR="005740E3" w:rsidRDefault="0043194A">
            <w:pPr>
              <w:pStyle w:val="Other10"/>
              <w:spacing w:after="0" w:line="240" w:lineRule="auto"/>
              <w:ind w:firstLine="280"/>
              <w:rPr>
                <w:sz w:val="14"/>
                <w:szCs w:val="14"/>
              </w:rPr>
            </w:pPr>
            <w:r>
              <w:rPr>
                <w:sz w:val="14"/>
                <w:szCs w:val="14"/>
              </w:rPr>
              <w:t>200.3</w:t>
            </w:r>
          </w:p>
        </w:tc>
        <w:tc>
          <w:tcPr>
            <w:tcW w:w="984"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420"/>
              <w:rPr>
                <w:sz w:val="14"/>
                <w:szCs w:val="14"/>
              </w:rPr>
            </w:pPr>
            <w:r>
              <w:rPr>
                <w:sz w:val="14"/>
                <w:szCs w:val="14"/>
              </w:rPr>
              <w:t xml:space="preserve">0. </w:t>
            </w:r>
            <w:r>
              <w:rPr>
                <w:sz w:val="14"/>
                <w:szCs w:val="14"/>
                <w:lang w:val="zh-TW" w:eastAsia="zh-TW" w:bidi="zh-TW"/>
              </w:rPr>
              <w:t>3</w:t>
            </w:r>
          </w:p>
        </w:tc>
        <w:tc>
          <w:tcPr>
            <w:tcW w:w="1440"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520"/>
              <w:rPr>
                <w:sz w:val="14"/>
                <w:szCs w:val="14"/>
              </w:rPr>
            </w:pPr>
            <w:r>
              <w:rPr>
                <w:sz w:val="14"/>
                <w:szCs w:val="14"/>
              </w:rPr>
              <w:t>29.5</w:t>
            </w:r>
          </w:p>
        </w:tc>
        <w:tc>
          <w:tcPr>
            <w:tcW w:w="1214"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rPr>
                <w:sz w:val="14"/>
                <w:szCs w:val="14"/>
              </w:rPr>
            </w:pPr>
            <w:r>
              <w:rPr>
                <w:sz w:val="14"/>
                <w:szCs w:val="14"/>
              </w:rPr>
              <w:t>1.7</w:t>
            </w:r>
          </w:p>
        </w:tc>
      </w:tr>
      <w:tr w:rsidR="005740E3">
        <w:tblPrEx>
          <w:tblCellMar>
            <w:top w:w="0" w:type="dxa"/>
            <w:bottom w:w="0" w:type="dxa"/>
          </w:tblCellMar>
        </w:tblPrEx>
        <w:trPr>
          <w:trHeight w:hRule="exact" w:val="355"/>
          <w:jc w:val="center"/>
        </w:trPr>
        <w:tc>
          <w:tcPr>
            <w:tcW w:w="998" w:type="dxa"/>
            <w:tcBorders>
              <w:top w:val="single" w:sz="4" w:space="0" w:color="auto"/>
            </w:tcBorders>
            <w:shd w:val="clear" w:color="auto" w:fill="FFFFFF"/>
            <w:vAlign w:val="center"/>
          </w:tcPr>
          <w:p w:rsidR="005740E3" w:rsidRDefault="0043194A">
            <w:pPr>
              <w:pStyle w:val="Other10"/>
              <w:spacing w:after="0" w:line="240" w:lineRule="auto"/>
              <w:ind w:firstLine="280"/>
              <w:rPr>
                <w:sz w:val="14"/>
                <w:szCs w:val="14"/>
              </w:rPr>
            </w:pPr>
            <w:r>
              <w:rPr>
                <w:sz w:val="14"/>
                <w:szCs w:val="14"/>
              </w:rPr>
              <w:t xml:space="preserve">200. </w:t>
            </w:r>
            <w:r>
              <w:rPr>
                <w:sz w:val="14"/>
                <w:szCs w:val="14"/>
                <w:lang w:val="zh-TW" w:eastAsia="zh-TW" w:bidi="zh-TW"/>
              </w:rPr>
              <w:t>5</w:t>
            </w:r>
          </w:p>
        </w:tc>
        <w:tc>
          <w:tcPr>
            <w:tcW w:w="984"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ind w:firstLine="420"/>
              <w:rPr>
                <w:sz w:val="14"/>
                <w:szCs w:val="14"/>
              </w:rPr>
            </w:pPr>
            <w:r>
              <w:rPr>
                <w:sz w:val="14"/>
                <w:szCs w:val="14"/>
              </w:rPr>
              <w:t xml:space="preserve">0. </w:t>
            </w:r>
            <w:r>
              <w:rPr>
                <w:sz w:val="14"/>
                <w:szCs w:val="14"/>
                <w:lang w:val="zh-TW" w:eastAsia="zh-TW" w:bidi="zh-TW"/>
              </w:rPr>
              <w:t>5</w:t>
            </w:r>
          </w:p>
        </w:tc>
        <w:tc>
          <w:tcPr>
            <w:tcW w:w="1440" w:type="dxa"/>
            <w:tcBorders>
              <w:top w:val="single" w:sz="4" w:space="0" w:color="auto"/>
              <w:left w:val="single" w:sz="4" w:space="0" w:color="auto"/>
            </w:tcBorders>
            <w:shd w:val="clear" w:color="auto" w:fill="FFFFFF"/>
            <w:vAlign w:val="center"/>
          </w:tcPr>
          <w:p w:rsidR="005740E3" w:rsidRDefault="0043194A">
            <w:pPr>
              <w:pStyle w:val="Other10"/>
              <w:tabs>
                <w:tab w:val="left" w:pos="1154"/>
              </w:tabs>
              <w:spacing w:after="0" w:line="240" w:lineRule="auto"/>
              <w:ind w:firstLine="520"/>
              <w:rPr>
                <w:sz w:val="14"/>
                <w:szCs w:val="14"/>
              </w:rPr>
            </w:pPr>
            <w:r>
              <w:rPr>
                <w:sz w:val="14"/>
                <w:szCs w:val="14"/>
              </w:rPr>
              <w:t>29.</w:t>
            </w:r>
            <w:r>
              <w:rPr>
                <w:sz w:val="14"/>
                <w:szCs w:val="14"/>
                <w:lang w:val="zh-TW" w:eastAsia="zh-TW" w:bidi="zh-TW"/>
              </w:rPr>
              <w:t>0</w:t>
            </w:r>
            <w:r>
              <w:rPr>
                <w:sz w:val="14"/>
                <w:szCs w:val="14"/>
                <w:lang w:val="zh-TW" w:eastAsia="zh-TW" w:bidi="zh-TW"/>
              </w:rPr>
              <w:tab/>
            </w:r>
            <w:r>
              <w:rPr>
                <w:sz w:val="14"/>
                <w:szCs w:val="14"/>
              </w:rPr>
              <w:t>.</w:t>
            </w:r>
          </w:p>
        </w:tc>
        <w:tc>
          <w:tcPr>
            <w:tcW w:w="1214" w:type="dxa"/>
            <w:tcBorders>
              <w:top w:val="single" w:sz="4" w:space="0" w:color="auto"/>
              <w:left w:val="single" w:sz="4" w:space="0" w:color="auto"/>
            </w:tcBorders>
            <w:shd w:val="clear" w:color="auto" w:fill="FFFFFF"/>
            <w:vAlign w:val="center"/>
          </w:tcPr>
          <w:p w:rsidR="005740E3" w:rsidRDefault="0043194A">
            <w:pPr>
              <w:pStyle w:val="Other10"/>
              <w:spacing w:after="0" w:line="240" w:lineRule="auto"/>
              <w:jc w:val="both"/>
              <w:rPr>
                <w:sz w:val="14"/>
                <w:szCs w:val="14"/>
              </w:rPr>
            </w:pPr>
            <w:r>
              <w:rPr>
                <w:sz w:val="14"/>
                <w:szCs w:val="14"/>
              </w:rPr>
              <w:t xml:space="preserve">3. </w:t>
            </w:r>
            <w:r>
              <w:rPr>
                <w:sz w:val="14"/>
                <w:szCs w:val="14"/>
                <w:lang w:val="zh-TW" w:eastAsia="zh-TW" w:bidi="zh-TW"/>
              </w:rPr>
              <w:t>3</w:t>
            </w:r>
          </w:p>
        </w:tc>
      </w:tr>
      <w:tr w:rsidR="005740E3">
        <w:tblPrEx>
          <w:tblCellMar>
            <w:top w:w="0" w:type="dxa"/>
            <w:bottom w:w="0" w:type="dxa"/>
          </w:tblCellMar>
        </w:tblPrEx>
        <w:trPr>
          <w:trHeight w:hRule="exact" w:val="370"/>
          <w:jc w:val="center"/>
        </w:trPr>
        <w:tc>
          <w:tcPr>
            <w:tcW w:w="998" w:type="dxa"/>
            <w:tcBorders>
              <w:top w:val="single" w:sz="4" w:space="0" w:color="auto"/>
              <w:bottom w:val="single" w:sz="4" w:space="0" w:color="auto"/>
            </w:tcBorders>
            <w:shd w:val="clear" w:color="auto" w:fill="FFFFFF"/>
            <w:vAlign w:val="center"/>
          </w:tcPr>
          <w:p w:rsidR="005740E3" w:rsidRDefault="0043194A">
            <w:pPr>
              <w:pStyle w:val="Other10"/>
              <w:spacing w:after="0" w:line="240" w:lineRule="auto"/>
              <w:ind w:firstLine="280"/>
              <w:rPr>
                <w:sz w:val="14"/>
                <w:szCs w:val="14"/>
              </w:rPr>
            </w:pPr>
            <w:r>
              <w:rPr>
                <w:sz w:val="14"/>
                <w:szCs w:val="14"/>
              </w:rPr>
              <w:t>201.0</w:t>
            </w:r>
          </w:p>
        </w:tc>
        <w:tc>
          <w:tcPr>
            <w:tcW w:w="984" w:type="dxa"/>
            <w:tcBorders>
              <w:top w:val="single" w:sz="4" w:space="0" w:color="auto"/>
              <w:left w:val="single" w:sz="4" w:space="0" w:color="auto"/>
              <w:bottom w:val="single" w:sz="4" w:space="0" w:color="auto"/>
            </w:tcBorders>
            <w:shd w:val="clear" w:color="auto" w:fill="FFFFFF"/>
            <w:vAlign w:val="center"/>
          </w:tcPr>
          <w:p w:rsidR="005740E3" w:rsidRDefault="0043194A">
            <w:pPr>
              <w:pStyle w:val="Other10"/>
              <w:spacing w:after="0" w:line="240" w:lineRule="auto"/>
              <w:ind w:firstLine="420"/>
              <w:rPr>
                <w:sz w:val="14"/>
                <w:szCs w:val="14"/>
              </w:rPr>
            </w:pPr>
            <w:r>
              <w:rPr>
                <w:sz w:val="14"/>
                <w:szCs w:val="14"/>
              </w:rPr>
              <w:t>1.0</w:t>
            </w:r>
          </w:p>
        </w:tc>
        <w:tc>
          <w:tcPr>
            <w:tcW w:w="1440" w:type="dxa"/>
            <w:tcBorders>
              <w:top w:val="single" w:sz="4" w:space="0" w:color="auto"/>
              <w:left w:val="single" w:sz="4" w:space="0" w:color="auto"/>
              <w:bottom w:val="single" w:sz="4" w:space="0" w:color="auto"/>
            </w:tcBorders>
            <w:shd w:val="clear" w:color="auto" w:fill="FFFFFF"/>
            <w:vAlign w:val="center"/>
          </w:tcPr>
          <w:p w:rsidR="005740E3" w:rsidRDefault="0043194A">
            <w:pPr>
              <w:pStyle w:val="Other10"/>
              <w:spacing w:after="0" w:line="240" w:lineRule="auto"/>
              <w:ind w:firstLine="520"/>
              <w:rPr>
                <w:sz w:val="14"/>
                <w:szCs w:val="14"/>
              </w:rPr>
            </w:pPr>
            <w:r>
              <w:rPr>
                <w:sz w:val="14"/>
                <w:szCs w:val="14"/>
              </w:rPr>
              <w:t>28.0</w:t>
            </w:r>
          </w:p>
        </w:tc>
        <w:tc>
          <w:tcPr>
            <w:tcW w:w="1214" w:type="dxa"/>
            <w:tcBorders>
              <w:top w:val="single" w:sz="4" w:space="0" w:color="auto"/>
              <w:left w:val="single" w:sz="4" w:space="0" w:color="auto"/>
              <w:bottom w:val="single" w:sz="4" w:space="0" w:color="auto"/>
            </w:tcBorders>
            <w:shd w:val="clear" w:color="auto" w:fill="FFFFFF"/>
            <w:vAlign w:val="center"/>
          </w:tcPr>
          <w:p w:rsidR="005740E3" w:rsidRDefault="0043194A">
            <w:pPr>
              <w:pStyle w:val="Other10"/>
              <w:spacing w:after="0" w:line="240" w:lineRule="auto"/>
              <w:jc w:val="both"/>
              <w:rPr>
                <w:sz w:val="14"/>
                <w:szCs w:val="14"/>
              </w:rPr>
            </w:pPr>
            <w:r>
              <w:rPr>
                <w:sz w:val="14"/>
                <w:szCs w:val="14"/>
              </w:rPr>
              <w:t>6.7</w:t>
            </w:r>
          </w:p>
        </w:tc>
      </w:tr>
    </w:tbl>
    <w:p w:rsidR="005740E3" w:rsidRDefault="0043194A">
      <w:pPr>
        <w:pStyle w:val="Tablecaption10"/>
        <w:spacing w:after="100"/>
        <w:ind w:firstLine="0"/>
      </w:pPr>
      <w:r>
        <w:rPr>
          <w:b w:val="0"/>
          <w:bCs w:val="0"/>
        </w:rPr>
        <w:t>注</w:t>
      </w:r>
      <w:r>
        <w:rPr>
          <w:b w:val="0"/>
          <w:bCs w:val="0"/>
          <w:sz w:val="14"/>
          <w:szCs w:val="14"/>
        </w:rPr>
        <w:t>：</w:t>
      </w:r>
      <w:r>
        <w:rPr>
          <w:b w:val="0"/>
          <w:bCs w:val="0"/>
          <w:sz w:val="14"/>
          <w:szCs w:val="14"/>
        </w:rPr>
        <w:t>1</w:t>
      </w:r>
      <w:r>
        <w:rPr>
          <w:b w:val="0"/>
          <w:bCs w:val="0"/>
          <w:sz w:val="14"/>
          <w:szCs w:val="14"/>
        </w:rPr>
        <w:t>）</w:t>
      </w:r>
      <w:r>
        <w:rPr>
          <w:b w:val="0"/>
          <w:bCs w:val="0"/>
        </w:rPr>
        <w:t>该值为</w:t>
      </w:r>
      <w:r>
        <w:rPr>
          <w:b w:val="0"/>
          <w:bCs w:val="0"/>
          <w:sz w:val="14"/>
          <w:szCs w:val="14"/>
        </w:rPr>
        <w:t>6</w:t>
      </w:r>
      <w:r>
        <w:rPr>
          <w:b w:val="0"/>
          <w:bCs w:val="0"/>
        </w:rPr>
        <w:t>次试验</w:t>
      </w:r>
      <w:r>
        <w:rPr>
          <w:rFonts w:ascii="Times New Roman" w:eastAsia="Times New Roman" w:hAnsi="Times New Roman" w:cs="Times New Roman"/>
          <w:b w:val="0"/>
          <w:bCs w:val="0"/>
          <w:smallCaps/>
          <w:sz w:val="15"/>
          <w:szCs w:val="15"/>
          <w:lang w:val="en-US" w:eastAsia="zh-CN" w:bidi="en-US"/>
        </w:rPr>
        <w:t>1st</w:t>
      </w:r>
      <w:r>
        <w:rPr>
          <w:b w:val="0"/>
          <w:bCs w:val="0"/>
        </w:rPr>
        <w:t>的平均值；</w:t>
      </w:r>
    </w:p>
    <w:p w:rsidR="005740E3" w:rsidRDefault="0043194A">
      <w:pPr>
        <w:pStyle w:val="Tablecaption10"/>
        <w:ind w:firstLine="0"/>
        <w:rPr>
          <w:sz w:val="20"/>
          <w:szCs w:val="20"/>
        </w:rPr>
      </w:pPr>
      <w:r>
        <w:rPr>
          <w:b w:val="0"/>
          <w:bCs w:val="0"/>
          <w:sz w:val="14"/>
          <w:szCs w:val="14"/>
        </w:rPr>
        <w:t>2</w:t>
      </w:r>
      <w:r>
        <w:rPr>
          <w:b w:val="0"/>
          <w:bCs w:val="0"/>
          <w:sz w:val="14"/>
          <w:szCs w:val="14"/>
        </w:rPr>
        <w:t>）＜</w:t>
      </w:r>
      <w:r>
        <w:rPr>
          <w:b w:val="0"/>
          <w:bCs w:val="0"/>
          <w:sz w:val="14"/>
          <w:szCs w:val="14"/>
        </w:rPr>
        <w:t xml:space="preserve">3'= </w:t>
      </w:r>
      <w:r>
        <w:rPr>
          <w:rFonts w:ascii="Times New Roman" w:eastAsia="Times New Roman" w:hAnsi="Times New Roman" w:cs="Times New Roman"/>
          <w:b w:val="0"/>
          <w:bCs w:val="0"/>
          <w:smallCaps/>
          <w:sz w:val="15"/>
          <w:szCs w:val="15"/>
          <w:lang w:val="en-US" w:eastAsia="en-US" w:bidi="en-US"/>
        </w:rPr>
        <w:t>I A/</w:t>
      </w:r>
      <w:proofErr w:type="spellStart"/>
      <w:r>
        <w:rPr>
          <w:rFonts w:ascii="Times New Roman" w:eastAsia="Times New Roman" w:hAnsi="Times New Roman" w:cs="Times New Roman"/>
          <w:b w:val="0"/>
          <w:bCs w:val="0"/>
          <w:smallCaps/>
          <w:sz w:val="15"/>
          <w:szCs w:val="15"/>
          <w:lang w:val="en-US" w:eastAsia="en-US" w:bidi="en-US"/>
        </w:rPr>
        <w:t>oit</w:t>
      </w:r>
      <w:proofErr w:type="spellEnd"/>
      <w:r>
        <w:rPr>
          <w:b w:val="0"/>
          <w:bCs w:val="0"/>
          <w:sz w:val="14"/>
          <w:szCs w:val="14"/>
          <w:lang w:val="en-US" w:eastAsia="en-US" w:bidi="en-US"/>
        </w:rPr>
        <w:t xml:space="preserve"> </w:t>
      </w:r>
      <w:r>
        <w:rPr>
          <w:b w:val="0"/>
          <w:bCs w:val="0"/>
          <w:sz w:val="14"/>
          <w:szCs w:val="14"/>
        </w:rPr>
        <w:t xml:space="preserve">I </w:t>
      </w:r>
      <w:r>
        <w:rPr>
          <w:rFonts w:ascii="Times New Roman" w:eastAsia="Times New Roman" w:hAnsi="Times New Roman" w:cs="Times New Roman"/>
          <w:b w:val="0"/>
          <w:bCs w:val="0"/>
          <w:i/>
          <w:iCs/>
          <w:sz w:val="16"/>
          <w:szCs w:val="16"/>
        </w:rPr>
        <w:t>/</w:t>
      </w:r>
      <w:proofErr w:type="spellStart"/>
      <w:r>
        <w:rPr>
          <w:rFonts w:ascii="Times New Roman" w:eastAsia="Times New Roman" w:hAnsi="Times New Roman" w:cs="Times New Roman"/>
          <w:b w:val="0"/>
          <w:bCs w:val="0"/>
          <w:i/>
          <w:iCs/>
          <w:sz w:val="16"/>
          <w:szCs w:val="16"/>
          <w:lang w:val="en-US" w:eastAsia="en-US" w:bidi="en-US"/>
        </w:rPr>
        <w:t>lorr</w:t>
      </w:r>
      <w:proofErr w:type="spellEnd"/>
      <w:r>
        <w:rPr>
          <w:b w:val="0"/>
          <w:bCs w:val="0"/>
          <w:i/>
          <w:iCs/>
          <w:sz w:val="20"/>
          <w:szCs w:val="20"/>
        </w:rPr>
        <w:t>。</w:t>
      </w:r>
    </w:p>
    <w:p w:rsidR="005740E3" w:rsidRDefault="005740E3">
      <w:pPr>
        <w:spacing w:after="219" w:line="1" w:lineRule="exact"/>
      </w:pPr>
    </w:p>
    <w:p w:rsidR="005740E3" w:rsidRDefault="0043194A">
      <w:pPr>
        <w:pStyle w:val="Heading410"/>
        <w:keepNext/>
        <w:keepLines/>
        <w:spacing w:after="80" w:line="240" w:lineRule="auto"/>
      </w:pPr>
      <w:bookmarkStart w:id="37" w:name="bookmark36"/>
      <w:bookmarkStart w:id="38" w:name="bookmark37"/>
      <w:bookmarkStart w:id="39" w:name="bookmark38"/>
      <w:r>
        <w:rPr>
          <w:rFonts w:ascii="Times New Roman" w:eastAsia="Times New Roman" w:hAnsi="Times New Roman" w:cs="Times New Roman"/>
          <w:sz w:val="20"/>
          <w:szCs w:val="20"/>
          <w:lang w:val="en-US" w:eastAsia="zh-CN" w:bidi="en-US"/>
        </w:rPr>
        <w:lastRenderedPageBreak/>
        <w:t>2.4</w:t>
      </w:r>
      <w:r>
        <w:t>差动热分析仪</w:t>
      </w:r>
      <w:bookmarkEnd w:id="37"/>
      <w:bookmarkEnd w:id="38"/>
      <w:bookmarkEnd w:id="39"/>
    </w:p>
    <w:p w:rsidR="005740E3" w:rsidRDefault="0043194A">
      <w:pPr>
        <w:pStyle w:val="Bodytext10"/>
        <w:spacing w:after="0" w:line="240" w:lineRule="auto"/>
        <w:jc w:val="both"/>
      </w:pPr>
      <w:r>
        <w:t>差动热分析仪的炉体结构配备有平顶和通孔两</w:t>
      </w:r>
      <w:r>
        <w:t xml:space="preserve"> </w:t>
      </w:r>
      <w:r>
        <w:t>种石英罩管，平顶罩管多用于无机和非金属材料分</w:t>
      </w:r>
      <w:r>
        <w:t xml:space="preserve"> </w:t>
      </w:r>
      <w:r>
        <w:t>析（即不需要惰性气体氛围）。在采用平顶石英罩管</w:t>
      </w:r>
      <w:r>
        <w:t xml:space="preserve"> </w:t>
      </w:r>
      <w:r>
        <w:t>时，气体的进出口都在试样杆下方，位于试样杆上方</w:t>
      </w:r>
      <w:r>
        <w:t xml:space="preserve"> </w:t>
      </w:r>
      <w:r>
        <w:t>试样周围的气体无法迅速彻底置换，从而带来很大</w:t>
      </w:r>
      <w:r>
        <w:t xml:space="preserve"> </w:t>
      </w:r>
      <w:r>
        <w:t>的测试误差。因此，在</w:t>
      </w:r>
      <w:r>
        <w:rPr>
          <w:rFonts w:ascii="Times New Roman" w:eastAsia="Times New Roman" w:hAnsi="Times New Roman" w:cs="Times New Roman"/>
          <w:sz w:val="20"/>
          <w:szCs w:val="20"/>
          <w:lang w:val="en-US" w:eastAsia="zh-CN" w:bidi="en-US"/>
        </w:rPr>
        <w:t>OIT</w:t>
      </w:r>
      <w:r>
        <w:t>测试过程中只能采用通</w:t>
      </w:r>
      <w:r>
        <w:t xml:space="preserve"> </w:t>
      </w:r>
      <w:r>
        <w:t>孔石英罩管</w:t>
      </w:r>
      <w:r>
        <w:t>,</w:t>
      </w:r>
      <w:r>
        <w:t>使气体能直接从试样旁流过，较好地实</w:t>
      </w:r>
      <w:r>
        <w:t xml:space="preserve"> </w:t>
      </w:r>
      <w:r>
        <w:t>现了气体氛围的转换，避免</w:t>
      </w:r>
      <w:r>
        <w:rPr>
          <w:rFonts w:ascii="Times New Roman" w:eastAsia="Times New Roman" w:hAnsi="Times New Roman" w:cs="Times New Roman"/>
          <w:sz w:val="20"/>
          <w:szCs w:val="20"/>
          <w:lang w:val="en-US" w:eastAsia="zh-CN" w:bidi="en-US"/>
        </w:rPr>
        <w:t>OIT</w:t>
      </w:r>
      <w:r>
        <w:t>值的测试误差。差</w:t>
      </w:r>
      <w:r>
        <w:t xml:space="preserve"> </w:t>
      </w:r>
      <w:r>
        <w:t>动热分析仪采用温度补偿电路对镣铭</w:t>
      </w:r>
      <w:r>
        <w:t>-</w:t>
      </w:r>
      <w:r>
        <w:t>镣硅测温热</w:t>
      </w:r>
      <w:r>
        <w:t xml:space="preserve"> </w:t>
      </w:r>
      <w:r>
        <w:t>电偶进行冷端补偿。热电偶的冷端位于炉体下部靠</w:t>
      </w:r>
      <w:r>
        <w:t xml:space="preserve"> </w:t>
      </w:r>
      <w:r>
        <w:t>近冷却水进口处。冷却水应先通入样品杆座水冷</w:t>
      </w:r>
      <w:r>
        <w:t xml:space="preserve"> </w:t>
      </w:r>
      <w:r>
        <w:t>圈，再经橡皮管接入炉子水冷圈，而后排出。如果冷</w:t>
      </w:r>
      <w:r>
        <w:t xml:space="preserve"> </w:t>
      </w:r>
      <w:r>
        <w:t>却水未通入炉体或进出水方向接错，都会使冷端温</w:t>
      </w:r>
      <w:r>
        <w:t xml:space="preserve"> </w:t>
      </w:r>
      <w:r>
        <w:t>度高于补偿电路中铜电阻的温度（室温），影响试样</w:t>
      </w:r>
      <w:r>
        <w:t xml:space="preserve"> </w:t>
      </w:r>
      <w:r>
        <w:t>温度的准确测量，直接导致测试误差。由于在长期</w:t>
      </w:r>
      <w:r>
        <w:t xml:space="preserve"> </w:t>
      </w:r>
      <w:r>
        <w:t>使用过程中，试样污染物的逸出，补偿电路中铜电阻</w:t>
      </w:r>
      <w:r>
        <w:t xml:space="preserve"> </w:t>
      </w:r>
      <w:r>
        <w:t>的老化等因素都会造成热电偶测温准确性的下降，</w:t>
      </w:r>
      <w:r>
        <w:t xml:space="preserve"> </w:t>
      </w:r>
      <w:r>
        <w:t>因此应定期采用标准试样（锢、锡）来标定热电偶，以</w:t>
      </w:r>
      <w:r>
        <w:t xml:space="preserve"> </w:t>
      </w:r>
      <w:r>
        <w:t>保证测温的准确性。</w:t>
      </w:r>
    </w:p>
    <w:p w:rsidR="005740E3" w:rsidRDefault="0043194A">
      <w:pPr>
        <w:pStyle w:val="Bodytext10"/>
        <w:spacing w:after="120" w:line="312" w:lineRule="exact"/>
        <w:ind w:firstLine="440"/>
        <w:jc w:val="both"/>
      </w:pPr>
      <w:r>
        <w:t>综上所述，影响</w:t>
      </w:r>
      <w:r>
        <w:rPr>
          <w:rFonts w:ascii="Times New Roman" w:eastAsia="Times New Roman" w:hAnsi="Times New Roman" w:cs="Times New Roman"/>
          <w:sz w:val="20"/>
          <w:szCs w:val="20"/>
          <w:lang w:val="en-US" w:eastAsia="zh-CN" w:bidi="en-US"/>
        </w:rPr>
        <w:t>OIT</w:t>
      </w:r>
      <w:r>
        <w:t>测试</w:t>
      </w:r>
      <w:r>
        <w:t>的最主要因素为温度</w:t>
      </w:r>
      <w:r>
        <w:t xml:space="preserve"> </w:t>
      </w:r>
      <w:r>
        <w:t>和通入气体的气氛，准确的温控和气体氛围的纯净</w:t>
      </w:r>
      <w:r>
        <w:t xml:space="preserve"> </w:t>
      </w:r>
      <w:r>
        <w:t>可以降低非材料因素对</w:t>
      </w:r>
      <w:r>
        <w:rPr>
          <w:rFonts w:ascii="Times New Roman" w:eastAsia="Times New Roman" w:hAnsi="Times New Roman" w:cs="Times New Roman"/>
          <w:sz w:val="20"/>
          <w:szCs w:val="20"/>
          <w:lang w:val="en-US" w:eastAsia="zh-CN" w:bidi="en-US"/>
        </w:rPr>
        <w:t>OIT</w:t>
      </w:r>
      <w:r>
        <w:t>测量值的影响，从而获</w:t>
      </w:r>
      <w:r>
        <w:t xml:space="preserve"> </w:t>
      </w:r>
      <w:r>
        <w:t>得材料真实的抗氧化性能。</w:t>
      </w:r>
    </w:p>
    <w:p w:rsidR="005740E3" w:rsidRDefault="0043194A">
      <w:pPr>
        <w:pStyle w:val="Heading410"/>
        <w:keepNext/>
        <w:keepLines/>
        <w:spacing w:after="120" w:line="312" w:lineRule="exact"/>
        <w:jc w:val="center"/>
      </w:pPr>
      <w:bookmarkStart w:id="40" w:name="bookmark39"/>
      <w:bookmarkStart w:id="41" w:name="bookmark40"/>
      <w:bookmarkStart w:id="42" w:name="bookmark41"/>
      <w:r>
        <w:t>[</w:t>
      </w:r>
      <w:r>
        <w:t>参考文献</w:t>
      </w:r>
      <w:r>
        <w:rPr>
          <w:lang w:val="en-US" w:eastAsia="en-US" w:bidi="en-US"/>
        </w:rPr>
        <w:t>]</w:t>
      </w:r>
      <w:bookmarkEnd w:id="40"/>
      <w:bookmarkEnd w:id="41"/>
      <w:bookmarkEnd w:id="42"/>
    </w:p>
    <w:p w:rsidR="005740E3" w:rsidRDefault="0043194A">
      <w:pPr>
        <w:pStyle w:val="Bodytext20"/>
        <w:numPr>
          <w:ilvl w:val="0"/>
          <w:numId w:val="1"/>
        </w:numPr>
        <w:tabs>
          <w:tab w:val="left" w:pos="448"/>
        </w:tabs>
        <w:spacing w:line="284" w:lineRule="exact"/>
        <w:ind w:left="420" w:hanging="420"/>
        <w:jc w:val="both"/>
      </w:pPr>
      <w:bookmarkStart w:id="43" w:name="bookmark42"/>
      <w:bookmarkEnd w:id="43"/>
      <w:r>
        <w:t xml:space="preserve">ISO. ISO 11357-6 Plastics-differential scanning calorimetry </w:t>
      </w:r>
      <w:r>
        <w:t>（</w:t>
      </w:r>
      <w:r>
        <w:t xml:space="preserve"> DSC</w:t>
      </w:r>
      <w:r>
        <w:t>）</w:t>
      </w:r>
      <w:r>
        <w:t>-part 6</w:t>
      </w:r>
      <w:r>
        <w:rPr>
          <w:lang w:val="zh-TW" w:eastAsia="zh-TW" w:bidi="zh-TW"/>
        </w:rPr>
        <w:t xml:space="preserve">: </w:t>
      </w:r>
      <w:r>
        <w:t>determination of oxidation induction time[S]. ISO</w:t>
      </w:r>
      <w:r>
        <w:t>：</w:t>
      </w:r>
      <w:r>
        <w:t xml:space="preserve"> [s. </w:t>
      </w:r>
      <w:proofErr w:type="gramStart"/>
      <w:r>
        <w:t>n. ]</w:t>
      </w:r>
      <w:proofErr w:type="gramEnd"/>
      <w:r>
        <w:t xml:space="preserve"> ,2002.</w:t>
      </w:r>
    </w:p>
    <w:p w:rsidR="005740E3" w:rsidRDefault="0043194A">
      <w:pPr>
        <w:pStyle w:val="Bodytext30"/>
        <w:numPr>
          <w:ilvl w:val="0"/>
          <w:numId w:val="1"/>
        </w:numPr>
        <w:tabs>
          <w:tab w:val="left" w:pos="448"/>
        </w:tabs>
        <w:spacing w:line="284" w:lineRule="exact"/>
        <w:ind w:left="420" w:hanging="420"/>
        <w:jc w:val="both"/>
        <w:rPr>
          <w:sz w:val="14"/>
          <w:szCs w:val="14"/>
        </w:rPr>
      </w:pPr>
      <w:bookmarkStart w:id="44" w:name="bookmark43"/>
      <w:bookmarkEnd w:id="44"/>
      <w:r>
        <w:t>国家技术监督局</w:t>
      </w:r>
      <w:r>
        <w:rPr>
          <w:lang w:val="en-US" w:eastAsia="zh-CN" w:bidi="en-US"/>
        </w:rPr>
        <w:t>.</w:t>
      </w:r>
      <w:r>
        <w:rPr>
          <w:sz w:val="14"/>
          <w:szCs w:val="14"/>
          <w:lang w:val="en-US" w:eastAsia="zh-CN" w:bidi="en-US"/>
        </w:rPr>
        <w:t>GB/T 2951.9—1997</w:t>
      </w:r>
      <w:r>
        <w:t>附录</w:t>
      </w:r>
      <w:r>
        <w:rPr>
          <w:sz w:val="14"/>
          <w:szCs w:val="14"/>
          <w:lang w:val="en-US" w:eastAsia="zh-CN" w:bidi="en-US"/>
        </w:rPr>
        <w:t>B</w:t>
      </w:r>
      <w:r>
        <w:t>聚烯炷</w:t>
      </w:r>
      <w:r>
        <w:t xml:space="preserve"> </w:t>
      </w:r>
      <w:r>
        <w:t>绝缘导线的铜催化氧化降解试验方法</w:t>
      </w:r>
      <w:r>
        <w:rPr>
          <w:sz w:val="14"/>
          <w:szCs w:val="14"/>
          <w:lang w:val="en-US" w:eastAsia="zh-CN" w:bidi="en-US"/>
        </w:rPr>
        <w:t>[S].</w:t>
      </w:r>
      <w:r>
        <w:t>北京：中国</w:t>
      </w:r>
      <w:r>
        <w:t xml:space="preserve"> </w:t>
      </w:r>
      <w:r>
        <w:t>标准出版社</w:t>
      </w:r>
      <w:r>
        <w:rPr>
          <w:sz w:val="14"/>
          <w:szCs w:val="14"/>
          <w:lang w:val="en-US" w:eastAsia="zh-CN" w:bidi="en-US"/>
        </w:rPr>
        <w:t>，</w:t>
      </w:r>
      <w:r>
        <w:rPr>
          <w:sz w:val="14"/>
          <w:szCs w:val="14"/>
          <w:lang w:val="en-US" w:eastAsia="zh-CN" w:bidi="en-US"/>
        </w:rPr>
        <w:t>1997.</w:t>
      </w:r>
    </w:p>
    <w:p w:rsidR="005740E3" w:rsidRDefault="0043194A">
      <w:pPr>
        <w:pStyle w:val="Bodytext20"/>
        <w:numPr>
          <w:ilvl w:val="0"/>
          <w:numId w:val="1"/>
        </w:numPr>
        <w:tabs>
          <w:tab w:val="left" w:pos="448"/>
        </w:tabs>
        <w:spacing w:line="284" w:lineRule="exact"/>
        <w:ind w:left="420" w:hanging="420"/>
        <w:jc w:val="both"/>
        <w:sectPr w:rsidR="005740E3">
          <w:type w:val="continuous"/>
          <w:pgSz w:w="11213" w:h="15773"/>
          <w:pgMar w:top="1046" w:right="782" w:bottom="764" w:left="761" w:header="0" w:footer="3" w:gutter="0"/>
          <w:cols w:num="2" w:space="328"/>
          <w:noEndnote/>
          <w:docGrid w:linePitch="360"/>
        </w:sectPr>
      </w:pPr>
      <w:bookmarkStart w:id="45" w:name="bookmark44"/>
      <w:bookmarkEnd w:id="45"/>
      <w:r>
        <w:t>ASTM. ASTM D4565. 17—1999 Standard test methods for physical and environmental performance properties of insulations and jackets for telecommuni</w:t>
      </w:r>
      <w:r>
        <w:softHyphen/>
        <w:t xml:space="preserve">cation wire and cable oxidative induction time </w:t>
      </w:r>
      <w:r>
        <w:t>ES J. ASTM</w:t>
      </w:r>
      <w:r>
        <w:t>：</w:t>
      </w:r>
      <w:r>
        <w:t xml:space="preserve"> [</w:t>
      </w:r>
      <w:proofErr w:type="spellStart"/>
      <w:r>
        <w:t>s.n</w:t>
      </w:r>
      <w:proofErr w:type="spellEnd"/>
      <w:r>
        <w:t>.], 1999.</w:t>
      </w:r>
    </w:p>
    <w:p w:rsidR="005740E3" w:rsidRDefault="005740E3">
      <w:pPr>
        <w:spacing w:line="240" w:lineRule="exact"/>
        <w:rPr>
          <w:sz w:val="19"/>
          <w:szCs w:val="19"/>
        </w:rPr>
      </w:pPr>
    </w:p>
    <w:p w:rsidR="005740E3" w:rsidRDefault="005740E3">
      <w:pPr>
        <w:spacing w:line="240" w:lineRule="exact"/>
        <w:rPr>
          <w:sz w:val="19"/>
          <w:szCs w:val="19"/>
        </w:rPr>
      </w:pPr>
    </w:p>
    <w:p w:rsidR="005740E3" w:rsidRDefault="005740E3">
      <w:pPr>
        <w:spacing w:line="1" w:lineRule="exact"/>
        <w:sectPr w:rsidR="005740E3">
          <w:type w:val="continuous"/>
          <w:pgSz w:w="11213" w:h="15773"/>
          <w:pgMar w:top="1037" w:right="0" w:bottom="1037" w:left="0" w:header="0" w:footer="3" w:gutter="0"/>
          <w:cols w:space="720"/>
          <w:noEndnote/>
          <w:docGrid w:linePitch="360"/>
        </w:sectPr>
      </w:pPr>
    </w:p>
    <w:p w:rsidR="005740E3" w:rsidRPr="00770955" w:rsidRDefault="005740E3" w:rsidP="00770955">
      <w:pPr>
        <w:pStyle w:val="Heading110"/>
        <w:keepNext/>
        <w:keepLines/>
        <w:spacing w:after="0"/>
        <w:ind w:left="0"/>
        <w:jc w:val="left"/>
        <w:rPr>
          <w:rFonts w:eastAsia="PMingLiU" w:hint="eastAsia"/>
        </w:rPr>
      </w:pPr>
    </w:p>
    <w:sectPr w:rsidR="005740E3" w:rsidRPr="00770955">
      <w:type w:val="continuous"/>
      <w:pgSz w:w="11213" w:h="15773"/>
      <w:pgMar w:top="1037" w:right="835" w:bottom="1037" w:left="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94A" w:rsidRDefault="0043194A">
      <w:r>
        <w:separator/>
      </w:r>
    </w:p>
  </w:endnote>
  <w:endnote w:type="continuationSeparator" w:id="0">
    <w:p w:rsidR="0043194A" w:rsidRDefault="0043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94A" w:rsidRDefault="0043194A"/>
  </w:footnote>
  <w:footnote w:type="continuationSeparator" w:id="0">
    <w:p w:rsidR="0043194A" w:rsidRDefault="0043194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0E3" w:rsidRDefault="0043194A">
    <w:pPr>
      <w:spacing w:line="1" w:lineRule="exact"/>
    </w:pPr>
    <w:r>
      <w:rPr>
        <w:noProof/>
        <w:lang w:eastAsia="zh-CN" w:bidi="ar-SA"/>
      </w:rPr>
      <mc:AlternateContent>
        <mc:Choice Requires="wps">
          <w:drawing>
            <wp:anchor distT="0" distB="0" distL="0" distR="0" simplePos="0" relativeHeight="251659264" behindDoc="1" locked="0" layoutInCell="1" allowOverlap="1">
              <wp:simplePos x="0" y="0"/>
              <wp:positionH relativeFrom="page">
                <wp:posOffset>607060</wp:posOffset>
              </wp:positionH>
              <wp:positionV relativeFrom="page">
                <wp:posOffset>395605</wp:posOffset>
              </wp:positionV>
              <wp:extent cx="5940425" cy="106680"/>
              <wp:effectExtent l="0" t="0" r="0" b="0"/>
              <wp:wrapNone/>
              <wp:docPr id="4" name="Shape 4"/>
              <wp:cNvGraphicFramePr/>
              <a:graphic xmlns:a="http://schemas.openxmlformats.org/drawingml/2006/main">
                <a:graphicData uri="http://schemas.microsoft.com/office/word/2010/wordprocessingShape">
                  <wps:wsp>
                    <wps:cNvSpPr txBox="1"/>
                    <wps:spPr>
                      <a:xfrm>
                        <a:off x="0" y="0"/>
                        <a:ext cx="5940425" cy="106680"/>
                      </a:xfrm>
                      <a:prstGeom prst="rect">
                        <a:avLst/>
                      </a:prstGeom>
                      <a:noFill/>
                    </wps:spPr>
                    <wps:txbx>
                      <w:txbxContent>
                        <w:p w:rsidR="005740E3" w:rsidRDefault="0043194A">
                          <w:pPr>
                            <w:pStyle w:val="Headerorfooter20"/>
                            <w:tabs>
                              <w:tab w:val="right" w:pos="5616"/>
                              <w:tab w:val="right" w:pos="9355"/>
                            </w:tabs>
                            <w:rPr>
                              <w:sz w:val="17"/>
                              <w:szCs w:val="17"/>
                            </w:rPr>
                          </w:pPr>
                          <w:r>
                            <w:rPr>
                              <w:rFonts w:ascii="宋体" w:eastAsia="宋体" w:hAnsi="宋体" w:cs="宋体"/>
                              <w:sz w:val="14"/>
                              <w:szCs w:val="14"/>
                              <w:lang w:val="en-US" w:eastAsia="zh-CN" w:bidi="en-US"/>
                            </w:rPr>
                            <w:t xml:space="preserve">, </w:t>
                          </w:r>
                          <w:r>
                            <w:rPr>
                              <w:rFonts w:ascii="宋体" w:eastAsia="宋体" w:hAnsi="宋体" w:cs="宋体"/>
                              <w:sz w:val="14"/>
                              <w:szCs w:val="14"/>
                              <w:lang w:val="zh-CN" w:eastAsia="zh-CN" w:bidi="zh-CN"/>
                            </w:rPr>
                            <w:t xml:space="preserve">26 </w:t>
                          </w:r>
                          <w:r>
                            <w:rPr>
                              <w:rFonts w:ascii="宋体" w:eastAsia="宋体" w:hAnsi="宋体" w:cs="宋体"/>
                              <w:sz w:val="14"/>
                              <w:szCs w:val="14"/>
                              <w:lang w:val="en-US" w:eastAsia="zh-CN" w:bidi="en-US"/>
                            </w:rPr>
                            <w:t>•</w:t>
                          </w:r>
                          <w:r>
                            <w:rPr>
                              <w:rFonts w:ascii="宋体" w:eastAsia="宋体" w:hAnsi="宋体" w:cs="宋体"/>
                              <w:sz w:val="14"/>
                              <w:szCs w:val="14"/>
                              <w:lang w:val="en-US" w:eastAsia="zh-CN" w:bidi="en-US"/>
                            </w:rPr>
                            <w:tab/>
                          </w:r>
                          <w:r>
                            <w:rPr>
                              <w:rFonts w:ascii="宋体" w:eastAsia="宋体" w:hAnsi="宋体" w:cs="宋体"/>
                              <w:sz w:val="17"/>
                              <w:szCs w:val="17"/>
                            </w:rPr>
                            <w:t>光纤与电缆及其应用技术</w:t>
                          </w:r>
                          <w:r>
                            <w:rPr>
                              <w:rFonts w:ascii="宋体" w:eastAsia="宋体" w:hAnsi="宋体" w:cs="宋体"/>
                              <w:sz w:val="17"/>
                              <w:szCs w:val="17"/>
                            </w:rPr>
                            <w:tab/>
                          </w:r>
                          <w:r>
                            <w:rPr>
                              <w:rFonts w:ascii="宋体" w:eastAsia="宋体" w:hAnsi="宋体" w:cs="宋体"/>
                              <w:sz w:val="14"/>
                              <w:szCs w:val="14"/>
                            </w:rPr>
                            <w:t>2008</w:t>
                          </w:r>
                          <w:r>
                            <w:rPr>
                              <w:rFonts w:ascii="宋体" w:eastAsia="宋体" w:hAnsi="宋体" w:cs="宋体"/>
                              <w:sz w:val="17"/>
                              <w:szCs w:val="17"/>
                            </w:rPr>
                            <w:t>年第</w:t>
                          </w:r>
                          <w:r>
                            <w:rPr>
                              <w:rFonts w:ascii="宋体" w:eastAsia="宋体" w:hAnsi="宋体" w:cs="宋体"/>
                              <w:sz w:val="14"/>
                              <w:szCs w:val="14"/>
                            </w:rPr>
                            <w:t>6</w:t>
                          </w:r>
                          <w:r>
                            <w:rPr>
                              <w:rFonts w:ascii="宋体" w:eastAsia="宋体" w:hAnsi="宋体" w:cs="宋体"/>
                              <w:sz w:val="17"/>
                              <w:szCs w:val="17"/>
                            </w:rPr>
                            <w:t>期</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6" type="#_x0000_t202" style="position:absolute;margin-left:47.8pt;margin-top:31.15pt;width:467.75pt;height:8.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0JhjgEAABYDAAAOAAAAZHJzL2Uyb0RvYy54bWysUsFOwzAMvSPxD1HurN00JqjWIRACISFA&#10;Aj4gS5M1UhNHcVi7v8fJuoHghrg4ju08Pz9neTXYjm1VQAOu5tNJyZlyEhrjNjV/f7s7u+AMo3CN&#10;6MCpmu8U8qvV6cmy95WaQQtdowIjEIdV72vexuirokDZKitwAl45SmoIVkS6hk3RBNETuu2KWVku&#10;ih5C4wNIhUjR232SrzK+1krGZ61RRdbVnLjFbEO262SL1VJUmyB8a+RIQ/yBhRXGUdMj1K2Ign0E&#10;8wvKGhkAQceJBFuA1kaqPANNMy1/TPPaCq/yLCQO+qNM+H+w8mn7Ephpaj7nzAlLK8pd2TxJ03us&#10;qOLVU00cbmCgFR/iSME08aCDTSfNwihPIu+OwqohMknB88t5OZ+dcyYpNy0Xi4usfPH12geM9wos&#10;S07NAy0u6ym2jxiJCZUeSlIzB3em61I8UdxTSV4c1sPIew3Njmh3D47kSqs/OOHgrEcnAaK//ogE&#10;mnslpP3zsQGJnymMHyVt9/s9V31959UnAAAA//8DAFBLAwQUAAYACAAAACEAD1nnid0AAAAJAQAA&#10;DwAAAGRycy9kb3ducmV2LnhtbEyPMU/DMBCFd6T+B+uQWFDrOBWhCXGqCsHCRtuFzY2PJMI+R7Gb&#10;hP563ImOp/f0ve/K7WwNG3HwnSMJYpUAQ6qd7qiRcDy8LzfAfFCklXGEEn7Rw7Za3JWq0G6iTxz3&#10;oWERQr5QEtoQ+oJzX7dolV+5Hilm326wKsRzaLge1BTh1vA0STJuVUdxoVU9vrZY/+zPVkI2v/WP&#10;Hzmm06U2I31dhAgopHy4n3cvwALO4b8MV/2oDlV0Orkzac+MhPwpi83IStfArnmyFgLYScJzLoBX&#10;Jb/9oPoDAAD//wMAUEsBAi0AFAAGAAgAAAAhALaDOJL+AAAA4QEAABMAAAAAAAAAAAAAAAAAAAAA&#10;AFtDb250ZW50X1R5cGVzXS54bWxQSwECLQAUAAYACAAAACEAOP0h/9YAAACUAQAACwAAAAAAAAAA&#10;AAAAAAAvAQAAX3JlbHMvLnJlbHNQSwECLQAUAAYACAAAACEALbtCYY4BAAAWAwAADgAAAAAAAAAA&#10;AAAAAAAuAgAAZHJzL2Uyb0RvYy54bWxQSwECLQAUAAYACAAAACEAD1nnid0AAAAJAQAADwAAAAAA&#10;AAAAAAAAAADoAwAAZHJzL2Rvd25yZXYueG1sUEsFBgAAAAAEAAQA8wAAAPIEAAAAAA==&#10;" filled="f" stroked="f">
              <v:textbox style="mso-fit-shape-to-text:t" inset="0,0,0,0">
                <w:txbxContent>
                  <w:p w:rsidR="005740E3" w:rsidRDefault="0043194A">
                    <w:pPr>
                      <w:pStyle w:val="Headerorfooter20"/>
                      <w:tabs>
                        <w:tab w:val="right" w:pos="5616"/>
                        <w:tab w:val="right" w:pos="9355"/>
                      </w:tabs>
                      <w:rPr>
                        <w:sz w:val="17"/>
                        <w:szCs w:val="17"/>
                      </w:rPr>
                    </w:pPr>
                    <w:r>
                      <w:rPr>
                        <w:rFonts w:ascii="宋体" w:eastAsia="宋体" w:hAnsi="宋体" w:cs="宋体"/>
                        <w:sz w:val="14"/>
                        <w:szCs w:val="14"/>
                        <w:lang w:val="en-US" w:eastAsia="zh-CN" w:bidi="en-US"/>
                      </w:rPr>
                      <w:t xml:space="preserve">, </w:t>
                    </w:r>
                    <w:r>
                      <w:rPr>
                        <w:rFonts w:ascii="宋体" w:eastAsia="宋体" w:hAnsi="宋体" w:cs="宋体"/>
                        <w:sz w:val="14"/>
                        <w:szCs w:val="14"/>
                        <w:lang w:val="zh-CN" w:eastAsia="zh-CN" w:bidi="zh-CN"/>
                      </w:rPr>
                      <w:t xml:space="preserve">26 </w:t>
                    </w:r>
                    <w:r>
                      <w:rPr>
                        <w:rFonts w:ascii="宋体" w:eastAsia="宋体" w:hAnsi="宋体" w:cs="宋体"/>
                        <w:sz w:val="14"/>
                        <w:szCs w:val="14"/>
                        <w:lang w:val="en-US" w:eastAsia="zh-CN" w:bidi="en-US"/>
                      </w:rPr>
                      <w:t>•</w:t>
                    </w:r>
                    <w:r>
                      <w:rPr>
                        <w:rFonts w:ascii="宋体" w:eastAsia="宋体" w:hAnsi="宋体" w:cs="宋体"/>
                        <w:sz w:val="14"/>
                        <w:szCs w:val="14"/>
                        <w:lang w:val="en-US" w:eastAsia="zh-CN" w:bidi="en-US"/>
                      </w:rPr>
                      <w:tab/>
                    </w:r>
                    <w:r>
                      <w:rPr>
                        <w:rFonts w:ascii="宋体" w:eastAsia="宋体" w:hAnsi="宋体" w:cs="宋体"/>
                        <w:sz w:val="17"/>
                        <w:szCs w:val="17"/>
                      </w:rPr>
                      <w:t>光纤与电缆及其应用技术</w:t>
                    </w:r>
                    <w:r>
                      <w:rPr>
                        <w:rFonts w:ascii="宋体" w:eastAsia="宋体" w:hAnsi="宋体" w:cs="宋体"/>
                        <w:sz w:val="17"/>
                        <w:szCs w:val="17"/>
                      </w:rPr>
                      <w:tab/>
                    </w:r>
                    <w:r>
                      <w:rPr>
                        <w:rFonts w:ascii="宋体" w:eastAsia="宋体" w:hAnsi="宋体" w:cs="宋体"/>
                        <w:sz w:val="14"/>
                        <w:szCs w:val="14"/>
                      </w:rPr>
                      <w:t>2008</w:t>
                    </w:r>
                    <w:r>
                      <w:rPr>
                        <w:rFonts w:ascii="宋体" w:eastAsia="宋体" w:hAnsi="宋体" w:cs="宋体"/>
                        <w:sz w:val="17"/>
                        <w:szCs w:val="17"/>
                      </w:rPr>
                      <w:t>年第</w:t>
                    </w:r>
                    <w:r>
                      <w:rPr>
                        <w:rFonts w:ascii="宋体" w:eastAsia="宋体" w:hAnsi="宋体" w:cs="宋体"/>
                        <w:sz w:val="14"/>
                        <w:szCs w:val="14"/>
                      </w:rPr>
                      <w:t>6</w:t>
                    </w:r>
                    <w:r>
                      <w:rPr>
                        <w:rFonts w:ascii="宋体" w:eastAsia="宋体" w:hAnsi="宋体" w:cs="宋体"/>
                        <w:sz w:val="17"/>
                        <w:szCs w:val="17"/>
                      </w:rPr>
                      <w:t>期</w:t>
                    </w:r>
                  </w:p>
                </w:txbxContent>
              </v:textbox>
              <w10:wrap anchorx="page" anchory="page"/>
            </v:shape>
          </w:pict>
        </mc:Fallback>
      </mc:AlternateContent>
    </w:r>
    <w:r>
      <w:rPr>
        <w:noProof/>
        <w:lang w:eastAsia="zh-CN" w:bidi="ar-SA"/>
      </w:rPr>
      <mc:AlternateContent>
        <mc:Choice Requires="wps">
          <w:drawing>
            <wp:anchor distT="0" distB="0" distL="114300" distR="114300" simplePos="0" relativeHeight="251655168" behindDoc="1" locked="0" layoutInCell="1" allowOverlap="1">
              <wp:simplePos x="0" y="0"/>
              <wp:positionH relativeFrom="page">
                <wp:posOffset>509270</wp:posOffset>
              </wp:positionH>
              <wp:positionV relativeFrom="page">
                <wp:posOffset>570865</wp:posOffset>
              </wp:positionV>
              <wp:extent cx="6059170" cy="0"/>
              <wp:effectExtent l="0" t="0" r="0" b="0"/>
              <wp:wrapNone/>
              <wp:docPr id="6" name="Shape 6"/>
              <wp:cNvGraphicFramePr/>
              <a:graphic xmlns:a="http://schemas.openxmlformats.org/drawingml/2006/main">
                <a:graphicData uri="http://schemas.microsoft.com/office/word/2010/wordprocessingShape">
                  <wps:wsp>
                    <wps:cNvCnPr/>
                    <wps:spPr>
                      <a:xfrm>
                        <a:off x="0" y="0"/>
                        <a:ext cx="6059170" cy="0"/>
                      </a:xfrm>
                      <a:prstGeom prst="straightConnector1">
                        <a:avLst/>
                      </a:prstGeom>
                      <a:ln w="12700">
                        <a:solidFill/>
                      </a:ln>
                    </wps:spPr>
                    <wps:bodyPr/>
                  </wps:wsp>
                </a:graphicData>
              </a:graphic>
            </wp:anchor>
          </w:drawing>
        </mc:Choice>
        <mc:Fallback>
          <w:pict>
            <v:shapetype w14:anchorId="3A5B1D01" id="_x0000_t32" coordsize="21600,21600" o:spt="32" o:oned="t" path="m,l21600,21600e" filled="f">
              <v:path arrowok="t" fillok="f" o:connecttype="none"/>
              <o:lock v:ext="edit" shapetype="t"/>
            </v:shapetype>
            <v:shape id="Shape 6" o:spid="_x0000_s1026" type="#_x0000_t32" style="position:absolute;left:0;text-align:left;margin-left:40.1pt;margin-top:44.95pt;width:477.1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0H8fQEAAOYCAAAOAAAAZHJzL2Uyb0RvYy54bWysUsFOIzEMvSPxD1Hu25lW2gKjTjmA2MsK&#10;KgEfEDJJJ1ISR3botH+Pk5aCdm+rvTixHT/7PWd1uw9e7AySg9jL+ayVwkQNg4vbXr6+PPy4loKy&#10;ioPyEE0vD4bk7fryYjWlzixgBD8YFAwSqZtSL8ecU9c0pEcTFM0gmchJCxhUZhe3zYBqYvTgm0Xb&#10;LpsJcEgI2hBx9P6YlOuKb63R+claMln4XvJsuVqs9q3YZr1S3RZVGp0+jaH+YYqgXOSmZ6h7lZV4&#10;R/cXVHAagcDmmYbQgLVOm8qB2czbP9g8jyqZyoXFoXSWif4frH7cbVC4oZdLKaIKvKLaVSyLNFOi&#10;jl/cxQ2ePEobLDz3FkM5mYHYVzkPZznNPgvNwWX782Z+xarrz1zzVZiQ8i8DQZRLLymjctsx30GM&#10;vDTAeZVT7X5T5tZc+FlQuvooJv5ti6u2rc8IvBsenPfHpz5yRZn9OG25vcFwqCRqnMWsmKfFl219&#10;92v11/dcfwAAAP//AwBQSwMEFAAGAAgAAAAhAJLPgLTbAAAACQEAAA8AAABkcnMvZG93bnJldi54&#10;bWxMj0FPwzAMhe9I/IfISNxYyuhG1zWdAInzRMeFm9t4TbXGqZpsLf+eTBzgZNnv6fl7xW62vbjQ&#10;6DvHCh4XCQjixumOWwWfh/eHDIQPyBp7x6TgmzzsytubAnPtJv6gSxVaEUPY56jAhDDkUvrGkEW/&#10;cANx1I5utBjiOrZSjzjFcNvLZZKspcWO4weDA70Zak7V2Sp4TvWXw/Xrql5N+0Ogo6my/azU/d38&#10;sgURaA5/ZrjiR3QoI1Ptzqy96BVkyTI649xsQFz15ClNQdS/F1kW8n+D8gcAAP//AwBQSwECLQAU&#10;AAYACAAAACEAtoM4kv4AAADhAQAAEwAAAAAAAAAAAAAAAAAAAAAAW0NvbnRlbnRfVHlwZXNdLnht&#10;bFBLAQItABQABgAIAAAAIQA4/SH/1gAAAJQBAAALAAAAAAAAAAAAAAAAAC8BAABfcmVscy8ucmVs&#10;c1BLAQItABQABgAIAAAAIQB3Q0H8fQEAAOYCAAAOAAAAAAAAAAAAAAAAAC4CAABkcnMvZTJvRG9j&#10;LnhtbFBLAQItABQABgAIAAAAIQCSz4C02wAAAAkBAAAPAAAAAAAAAAAAAAAAANcDAABkcnMvZG93&#10;bnJldi54bWxQSwUGAAAAAAQABADzAAAA3wQ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0E3" w:rsidRDefault="0043194A">
    <w:pPr>
      <w:spacing w:line="1" w:lineRule="exact"/>
    </w:pPr>
    <w:r>
      <w:rPr>
        <w:noProof/>
        <w:lang w:eastAsia="zh-CN" w:bidi="ar-SA"/>
      </w:rPr>
      <mc:AlternateContent>
        <mc:Choice Requires="wps">
          <w:drawing>
            <wp:anchor distT="0" distB="0" distL="0" distR="0" simplePos="0" relativeHeight="251658240" behindDoc="1" locked="0" layoutInCell="1" allowOverlap="1">
              <wp:simplePos x="0" y="0"/>
              <wp:positionH relativeFrom="page">
                <wp:posOffset>2766695</wp:posOffset>
              </wp:positionH>
              <wp:positionV relativeFrom="page">
                <wp:posOffset>398780</wp:posOffset>
              </wp:positionV>
              <wp:extent cx="3736975"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3736975" cy="103505"/>
                      </a:xfrm>
                      <a:prstGeom prst="rect">
                        <a:avLst/>
                      </a:prstGeom>
                      <a:noFill/>
                    </wps:spPr>
                    <wps:txbx>
                      <w:txbxContent>
                        <w:p w:rsidR="005740E3" w:rsidRDefault="0043194A">
                          <w:pPr>
                            <w:pStyle w:val="Headerorfooter20"/>
                            <w:tabs>
                              <w:tab w:val="right" w:pos="5885"/>
                            </w:tabs>
                            <w:rPr>
                              <w:sz w:val="14"/>
                              <w:szCs w:val="14"/>
                            </w:rPr>
                          </w:pPr>
                          <w:r>
                            <w:rPr>
                              <w:rFonts w:ascii="宋体" w:eastAsia="宋体" w:hAnsi="宋体" w:cs="宋体"/>
                              <w:sz w:val="17"/>
                              <w:szCs w:val="17"/>
                            </w:rPr>
                            <w:t>张瑾：聚烯炷氧化诱导期的测试</w:t>
                          </w:r>
                          <w:r>
                            <w:rPr>
                              <w:rFonts w:ascii="宋体" w:eastAsia="宋体" w:hAnsi="宋体" w:cs="宋体"/>
                              <w:sz w:val="17"/>
                              <w:szCs w:val="17"/>
                            </w:rPr>
                            <w:tab/>
                          </w:r>
                          <w:r>
                            <w:rPr>
                              <w:rFonts w:ascii="宋体" w:eastAsia="宋体" w:hAnsi="宋体" w:cs="宋体"/>
                              <w:sz w:val="14"/>
                              <w:szCs w:val="14"/>
                              <w:lang w:val="en-US" w:eastAsia="zh-CN" w:bidi="en-US"/>
                            </w:rPr>
                            <w:t xml:space="preserve">• </w:t>
                          </w:r>
                          <w:r>
                            <w:rPr>
                              <w:rFonts w:ascii="宋体" w:eastAsia="宋体" w:hAnsi="宋体" w:cs="宋体"/>
                              <w:sz w:val="14"/>
                              <w:szCs w:val="14"/>
                            </w:rPr>
                            <w:t xml:space="preserve">27 </w:t>
                          </w:r>
                          <w:r>
                            <w:rPr>
                              <w:rFonts w:ascii="宋体" w:eastAsia="宋体" w:hAnsi="宋体" w:cs="宋体"/>
                              <w:sz w:val="14"/>
                              <w:szCs w:val="14"/>
                              <w:lang w:val="en-US" w:eastAsia="zh-CN" w:bidi="en-US"/>
                            </w:rPr>
                            <w: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217.85pt;margin-top:31.4pt;width:294.25pt;height:8.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rbjwEAAB0DAAAOAAAAZHJzL2Uyb0RvYy54bWysUttOwzAMfUfiH6K8s3ZM41KtQyAEQkKA&#10;BHxAliZrpCaO4rB2f4+TdQPBG+IldW3n+JzjLK4G27GNCmjA1Xw6KTlTTkJj3Lrm7293JxecYRSu&#10;ER04VfOtQn61PD5a9L5Sp9BC16jACMRh1fuatzH6qihQtsoKnIBXjooaghWRfsO6aILoCd12xWlZ&#10;nhU9hMYHkAqRsre7Il9mfK2VjM9ao4qsqzlxi/kM+Vyls1guRLUOwrdGjjTEH1hYYRwNPUDdiijY&#10;RzC/oKyRARB0nEiwBWhtpMoaSM20/KHmtRVeZS1kDvqDTfh/sPJp8xKYaWh3nDlhaUV5Kpsma3qP&#10;FXW8euqJww0MqW3MIyWT4kEHm76khVGdTN4ejFVDZJKSs/PZ2eX5nDNJtWk5m5fzBFN83fYB470C&#10;y1JQ80CLy36KzSPGXeu+JQ1zcGe6LuUTxR2VFMVhNYxqRporaLbEvntw5Fp6Afsg7IPVGCRc9Ncf&#10;kbDzyAS4uz7OoR1k0uN7SUv+/p+7vl718hMAAP//AwBQSwMEFAAGAAgAAAAhABjsRMHeAAAACgEA&#10;AA8AAABkcnMvZG93bnJldi54bWxMjzFPwzAQhXck/oN1SCyIOjGlpSFOhRAsbC0sbG58JBH2OYrd&#10;JPTXc51gPN2n771XbmfvxIhD7AJpyBcZCKQ62I4aDR/vr7cPIGIyZI0LhBp+MMK2urwoTWHDRDsc&#10;96kRLKFYGA1tSn0hZaxb9CYuQo/Ev68weJP4HBppBzOx3DupsmwlvemIE1rT43OL9ff+6DWs5pf+&#10;5m2DajrVbqTPU54nzLW+vpqfHkEknNMfDOf6XB0q7nQIR7JROA3Lu/s1oyxTPOEMZGqpQBw0rDc5&#10;yKqU/ydUvwAAAP//AwBQSwECLQAUAAYACAAAACEAtoM4kv4AAADhAQAAEwAAAAAAAAAAAAAAAAAA&#10;AAAAW0NvbnRlbnRfVHlwZXNdLnhtbFBLAQItABQABgAIAAAAIQA4/SH/1gAAAJQBAAALAAAAAAAA&#10;AAAAAAAAAC8BAABfcmVscy8ucmVsc1BLAQItABQABgAIAAAAIQCrhzrbjwEAAB0DAAAOAAAAAAAA&#10;AAAAAAAAAC4CAABkcnMvZTJvRG9jLnhtbFBLAQItABQABgAIAAAAIQAY7ETB3gAAAAoBAAAPAAAA&#10;AAAAAAAAAAAAAOkDAABkcnMvZG93bnJldi54bWxQSwUGAAAAAAQABADzAAAA9AQAAAAA&#10;" filled="f" stroked="f">
              <v:textbox style="mso-fit-shape-to-text:t" inset="0,0,0,0">
                <w:txbxContent>
                  <w:p w:rsidR="005740E3" w:rsidRDefault="0043194A">
                    <w:pPr>
                      <w:pStyle w:val="Headerorfooter20"/>
                      <w:tabs>
                        <w:tab w:val="right" w:pos="5885"/>
                      </w:tabs>
                      <w:rPr>
                        <w:sz w:val="14"/>
                        <w:szCs w:val="14"/>
                      </w:rPr>
                    </w:pPr>
                    <w:r>
                      <w:rPr>
                        <w:rFonts w:ascii="宋体" w:eastAsia="宋体" w:hAnsi="宋体" w:cs="宋体"/>
                        <w:sz w:val="17"/>
                        <w:szCs w:val="17"/>
                      </w:rPr>
                      <w:t>张瑾：聚烯炷氧化诱导期的测试</w:t>
                    </w:r>
                    <w:r>
                      <w:rPr>
                        <w:rFonts w:ascii="宋体" w:eastAsia="宋体" w:hAnsi="宋体" w:cs="宋体"/>
                        <w:sz w:val="17"/>
                        <w:szCs w:val="17"/>
                      </w:rPr>
                      <w:tab/>
                    </w:r>
                    <w:r>
                      <w:rPr>
                        <w:rFonts w:ascii="宋体" w:eastAsia="宋体" w:hAnsi="宋体" w:cs="宋体"/>
                        <w:sz w:val="14"/>
                        <w:szCs w:val="14"/>
                        <w:lang w:val="en-US" w:eastAsia="zh-CN" w:bidi="en-US"/>
                      </w:rPr>
                      <w:t xml:space="preserve">• </w:t>
                    </w:r>
                    <w:r>
                      <w:rPr>
                        <w:rFonts w:ascii="宋体" w:eastAsia="宋体" w:hAnsi="宋体" w:cs="宋体"/>
                        <w:sz w:val="14"/>
                        <w:szCs w:val="14"/>
                      </w:rPr>
                      <w:t xml:space="preserve">27 </w:t>
                    </w:r>
                    <w:r>
                      <w:rPr>
                        <w:rFonts w:ascii="宋体" w:eastAsia="宋体" w:hAnsi="宋体" w:cs="宋体"/>
                        <w:sz w:val="14"/>
                        <w:szCs w:val="14"/>
                        <w:lang w:val="en-US" w:eastAsia="zh-CN" w:bidi="en-US"/>
                      </w:rPr>
                      <w:t>•</w:t>
                    </w:r>
                  </w:p>
                </w:txbxContent>
              </v:textbox>
              <w10:wrap anchorx="page" anchory="page"/>
            </v:shape>
          </w:pict>
        </mc:Fallback>
      </mc:AlternateContent>
    </w:r>
    <w:r>
      <w:rPr>
        <w:noProof/>
        <w:lang w:eastAsia="zh-CN" w:bidi="ar-SA"/>
      </w:rPr>
      <mc:AlternateContent>
        <mc:Choice Requires="wps">
          <w:drawing>
            <wp:anchor distT="0" distB="0" distL="114300" distR="114300" simplePos="0" relativeHeight="251656192" behindDoc="1" locked="0" layoutInCell="1" allowOverlap="1">
              <wp:simplePos x="0" y="0"/>
              <wp:positionH relativeFrom="page">
                <wp:posOffset>511175</wp:posOffset>
              </wp:positionH>
              <wp:positionV relativeFrom="page">
                <wp:posOffset>572770</wp:posOffset>
              </wp:positionV>
              <wp:extent cx="6099175" cy="0"/>
              <wp:effectExtent l="0" t="0" r="0" b="0"/>
              <wp:wrapNone/>
              <wp:docPr id="3" name="Shape 3"/>
              <wp:cNvGraphicFramePr/>
              <a:graphic xmlns:a="http://schemas.openxmlformats.org/drawingml/2006/main">
                <a:graphicData uri="http://schemas.microsoft.com/office/word/2010/wordprocessingShape">
                  <wps:wsp>
                    <wps:cNvCnPr/>
                    <wps:spPr>
                      <a:xfrm>
                        <a:off x="0" y="0"/>
                        <a:ext cx="6099175" cy="0"/>
                      </a:xfrm>
                      <a:prstGeom prst="straightConnector1">
                        <a:avLst/>
                      </a:prstGeom>
                      <a:ln w="12700">
                        <a:solidFill/>
                      </a:ln>
                    </wps:spPr>
                    <wps:bodyPr/>
                  </wps:wsp>
                </a:graphicData>
              </a:graphic>
            </wp:anchor>
          </w:drawing>
        </mc:Choice>
        <mc:Fallback>
          <w:pict>
            <v:shapetype w14:anchorId="31CF988A" id="_x0000_t32" coordsize="21600,21600" o:spt="32" o:oned="t" path="m,l21600,21600e" filled="f">
              <v:path arrowok="t" fillok="f" o:connecttype="none"/>
              <o:lock v:ext="edit" shapetype="t"/>
            </v:shapetype>
            <v:shape id="Shape 3" o:spid="_x0000_s1026" type="#_x0000_t32" style="position:absolute;left:0;text-align:left;margin-left:40.25pt;margin-top:45.1pt;width:480.2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nffgEAAOYCAAAOAAAAZHJzL2Uyb0RvYy54bWysUk1vIyEMvVfqf0DcNzNJ1a9RJj20ai+r&#10;3UhtfwBlIIMEGNk0k/z7GpKmq+5ttReDbfzs98zybhe82BokB7GX81krhYkaBhc3vXx9efxxIwVl&#10;FQflIZpe7g3Ju9X52XJKnVnACH4wKBgkUjelXo45p65pSI8mKJpBMpGTFjCozC5umgHVxOjBN4u2&#10;vWomwCEhaEPE0YdDUq4qvrVG59/WksnC95Jny9VitW/FNqul6jao0uj0cQz1D1ME5SI3PUE9qKzE&#10;O7q/oILTCAQ2zzSEBqx12lQOzGbefmPzPKpkKhcWh9JJJvp/sPrXdo3CDb28kCKqwCuqXcVFkWZK&#10;1PGL+7jGo0dpjYXnzmIoJzMQuyrn/iSn2WWhOXjV3t7Ory+l0J+55qswIeUnA0GUSy8po3KbMd9D&#10;jLw0wHmVU21/UubWXPhZULr6KCb+bYvrtq3PCLwbHp33h6c+ckWZ/TBtub3BsK8kapzFrJjHxZdt&#10;/enX6q/vufoAAAD//wMAUEsDBBQABgAIAAAAIQDgGvPD2wAAAAkBAAAPAAAAZHJzL2Rvd25yZXYu&#10;eG1sTI/BTsMwEETvSPyDtZW4UbtVU0KIUwES54q0F26beJtEjddR7Dbh73HFAY47M5p9k+9m24sr&#10;jb5zrGG1VCCIa2c6bjQcDx+PKQgfkA32jknDN3nYFfd3OWbGTfxJ1zI0Ipawz1BDG8KQSenrliz6&#10;pRuIo3dyo8UQz7GRZsQpltterpXaSosdxw8tDvTeUn0uL1bD08Z8Ody+JVUy7Q+BTm2Z7metHxbz&#10;6wuIQHP4C8MNP6JDEZkqd2HjRa8hVUlManhWaxA3X21WcVz1q8gil/8XFD8AAAD//wMAUEsBAi0A&#10;FAAGAAgAAAAhALaDOJL+AAAA4QEAABMAAAAAAAAAAAAAAAAAAAAAAFtDb250ZW50X1R5cGVzXS54&#10;bWxQSwECLQAUAAYACAAAACEAOP0h/9YAAACUAQAACwAAAAAAAAAAAAAAAAAvAQAAX3JlbHMvLnJl&#10;bHNQSwECLQAUAAYACAAAACEAvJsZ334BAADmAgAADgAAAAAAAAAAAAAAAAAuAgAAZHJzL2Uyb0Rv&#10;Yy54bWxQSwECLQAUAAYACAAAACEA4Brzw9sAAAAJAQAADwAAAAAAAAAAAAAAAADYAwAAZHJzL2Rv&#10;d25yZXYueG1sUEsFBgAAAAAEAAQA8wAAAOAEA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0E3" w:rsidRDefault="0043194A">
    <w:pPr>
      <w:spacing w:line="1" w:lineRule="exact"/>
    </w:pPr>
    <w:r>
      <w:rPr>
        <w:noProof/>
        <w:lang w:eastAsia="zh-CN" w:bidi="ar-SA"/>
      </w:rPr>
      <mc:AlternateContent>
        <mc:Choice Requires="wps">
          <w:drawing>
            <wp:anchor distT="0" distB="0" distL="0" distR="0" simplePos="0" relativeHeight="251660288" behindDoc="1" locked="0" layoutInCell="1" allowOverlap="1">
              <wp:simplePos x="0" y="0"/>
              <wp:positionH relativeFrom="page">
                <wp:posOffset>560705</wp:posOffset>
              </wp:positionH>
              <wp:positionV relativeFrom="page">
                <wp:posOffset>286385</wp:posOffset>
              </wp:positionV>
              <wp:extent cx="5946775" cy="250190"/>
              <wp:effectExtent l="0" t="0" r="0" b="0"/>
              <wp:wrapNone/>
              <wp:docPr id="7" name="Shape 7"/>
              <wp:cNvGraphicFramePr/>
              <a:graphic xmlns:a="http://schemas.openxmlformats.org/drawingml/2006/main">
                <a:graphicData uri="http://schemas.microsoft.com/office/word/2010/wordprocessingShape">
                  <wps:wsp>
                    <wps:cNvSpPr txBox="1"/>
                    <wps:spPr>
                      <a:xfrm>
                        <a:off x="0" y="0"/>
                        <a:ext cx="5946775" cy="250190"/>
                      </a:xfrm>
                      <a:prstGeom prst="rect">
                        <a:avLst/>
                      </a:prstGeom>
                      <a:noFill/>
                    </wps:spPr>
                    <wps:txbx>
                      <w:txbxContent>
                        <w:p w:rsidR="005740E3" w:rsidRDefault="0043194A">
                          <w:pPr>
                            <w:pStyle w:val="Headerorfooter20"/>
                            <w:tabs>
                              <w:tab w:val="right" w:pos="9187"/>
                            </w:tabs>
                            <w:rPr>
                              <w:sz w:val="17"/>
                              <w:szCs w:val="17"/>
                            </w:rPr>
                          </w:pPr>
                          <w:r>
                            <w:rPr>
                              <w:rFonts w:ascii="宋体" w:eastAsia="宋体" w:hAnsi="宋体" w:cs="宋体"/>
                              <w:sz w:val="17"/>
                              <w:szCs w:val="17"/>
                            </w:rPr>
                            <w:t>光纤与电缆及其应用技术</w:t>
                          </w:r>
                          <w:r>
                            <w:rPr>
                              <w:rFonts w:ascii="宋体" w:eastAsia="宋体" w:hAnsi="宋体" w:cs="宋体"/>
                              <w:sz w:val="17"/>
                              <w:szCs w:val="17"/>
                            </w:rPr>
                            <w:tab/>
                          </w:r>
                          <w:r>
                            <w:rPr>
                              <w:rFonts w:ascii="宋体" w:eastAsia="宋体" w:hAnsi="宋体" w:cs="宋体"/>
                              <w:sz w:val="14"/>
                              <w:szCs w:val="14"/>
                            </w:rPr>
                            <w:t>2008</w:t>
                          </w:r>
                          <w:r>
                            <w:rPr>
                              <w:rFonts w:ascii="宋体" w:eastAsia="宋体" w:hAnsi="宋体" w:cs="宋体"/>
                              <w:sz w:val="17"/>
                              <w:szCs w:val="17"/>
                            </w:rPr>
                            <w:t>年第</w:t>
                          </w:r>
                          <w:r>
                            <w:rPr>
                              <w:rFonts w:ascii="宋体" w:eastAsia="宋体" w:hAnsi="宋体" w:cs="宋体"/>
                              <w:sz w:val="14"/>
                              <w:szCs w:val="14"/>
                            </w:rPr>
                            <w:t>6</w:t>
                          </w:r>
                          <w:r>
                            <w:rPr>
                              <w:rFonts w:ascii="宋体" w:eastAsia="宋体" w:hAnsi="宋体" w:cs="宋体"/>
                              <w:sz w:val="17"/>
                              <w:szCs w:val="17"/>
                            </w:rPr>
                            <w:t>期</w:t>
                          </w:r>
                        </w:p>
                        <w:p w:rsidR="005740E3" w:rsidRDefault="00770955">
                          <w:pPr>
                            <w:pStyle w:val="Headerorfooter20"/>
                            <w:tabs>
                              <w:tab w:val="right" w:pos="8750"/>
                              <w:tab w:val="right" w:pos="9365"/>
                            </w:tabs>
                            <w:rPr>
                              <w:sz w:val="14"/>
                              <w:szCs w:val="14"/>
                            </w:rPr>
                          </w:pPr>
                          <w:r>
                            <w:rPr>
                              <w:rFonts w:ascii="宋体" w:eastAsia="宋体" w:hAnsi="宋体" w:cs="宋体"/>
                              <w:sz w:val="14"/>
                              <w:szCs w:val="14"/>
                              <w:u w:val="single"/>
                              <w:lang w:val="en-US" w:eastAsia="en-US" w:bidi="en-US"/>
                            </w:rPr>
                            <w:t>Optical Fiber Electric Ca</w:t>
                          </w:r>
                          <w:r w:rsidR="0043194A">
                            <w:rPr>
                              <w:rFonts w:ascii="宋体" w:eastAsia="宋体" w:hAnsi="宋体" w:cs="宋体"/>
                              <w:sz w:val="14"/>
                              <w:szCs w:val="14"/>
                              <w:u w:val="single"/>
                              <w:lang w:val="en-US" w:eastAsia="en-US" w:bidi="en-US"/>
                            </w:rPr>
                            <w:tab/>
                            <w:t>No. 6</w:t>
                          </w:r>
                          <w:r w:rsidR="0043194A">
                            <w:rPr>
                              <w:rFonts w:ascii="宋体" w:eastAsia="宋体" w:hAnsi="宋体" w:cs="宋体"/>
                              <w:sz w:val="14"/>
                              <w:szCs w:val="14"/>
                              <w:u w:val="single"/>
                              <w:lang w:val="en-US" w:eastAsia="en-US" w:bidi="en-US"/>
                            </w:rPr>
                            <w:tab/>
                            <w:t>2008</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44.15pt;margin-top:22.55pt;width:468.25pt;height:19.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SN3lQEAAB0DAAAOAAAAZHJzL2Uyb0RvYy54bWysUsFu2zAMvQ/oPwi6N3aCJVmNOEGHosOA&#10;YS2Q7gMUWYoFWKIgKrHz96OUOBna29CLTJPU43uPWm0G27GjCmjA1Xw6KTlTTkJj3L7mf96e779x&#10;hlG4RnTgVM1PCvlmffdl1ftKzaCFrlGBEYjDqvc1b2P0VVGgbJUVOAGvHBU1BCsi/YZ90QTRE7rt&#10;illZLooeQuMDSIVI2adzka8zvtZKxhetUUXW1Zy4xXyGfO7SWaxXotoH4VsjLzTEf7CwwjgaeoV6&#10;ElGwQzAfoKyRARB0nEiwBWhtpMoaSM20fKdm2wqvshYyB/3VJvw8WPn7+BqYaWq+5MwJSyvKU9ky&#10;WdN7rKhj66knDt9hoBWPeaRkUjzoYNOXtDCqk8mnq7FqiExScv7wdbFczjmTVJvNy+lDdr643fYB&#10;4w8FlqWg5oEWl/0Ux18YiQm1ji1pmINn03UpnyieqaQoDrshq5mNNHfQnIh999ORa+kFjEEYg90l&#10;SLjoHw+RsPPIBHi+fplDO8hMLu8lLfnf/9x1e9XrvwAAAP//AwBQSwMEFAAGAAgAAAAhALepbznd&#10;AAAACQEAAA8AAABkcnMvZG93bnJldi54bWxMjzFPwzAQhXck/oN1SCyodRzSKg1xKoRgYaOwsLnJ&#10;kUTY5yh2k9Bfz3WC8fQ9vfteuV+cFROOofekQa0TEEi1b3pqNXy8v6xyECEaaoz1hBp+MMC+ur4q&#10;TdH4md5wOsRWcAmFwmjoYhwKKUPdoTNh7QckZl9+dCbyObayGc3M5c7KNEm20pme+ENnBnzqsP4+&#10;nJyG7fI83L3uMJ3PtZ3o86xURKX17c3y+AAi4hL/wnDRZ3Wo2OnoT9QEYTXk+T0nNWQbBeLCkzTj&#10;LUcm2QZkVcr/C6pfAAAA//8DAFBLAQItABQABgAIAAAAIQC2gziS/gAAAOEBAAATAAAAAAAAAAAA&#10;AAAAAAAAAABbQ29udGVudF9UeXBlc10ueG1sUEsBAi0AFAAGAAgAAAAhADj9If/WAAAAlAEAAAsA&#10;AAAAAAAAAAAAAAAALwEAAF9yZWxzLy5yZWxzUEsBAi0AFAAGAAgAAAAhAO3VI3eVAQAAHQMAAA4A&#10;AAAAAAAAAAAAAAAALgIAAGRycy9lMm9Eb2MueG1sUEsBAi0AFAAGAAgAAAAhALepbzndAAAACQEA&#10;AA8AAAAAAAAAAAAAAAAA7wMAAGRycy9kb3ducmV2LnhtbFBLBQYAAAAABAAEAPMAAAD5BAAAAAA=&#10;" filled="f" stroked="f">
              <v:textbox style="mso-fit-shape-to-text:t" inset="0,0,0,0">
                <w:txbxContent>
                  <w:p w:rsidR="005740E3" w:rsidRDefault="0043194A">
                    <w:pPr>
                      <w:pStyle w:val="Headerorfooter20"/>
                      <w:tabs>
                        <w:tab w:val="right" w:pos="9187"/>
                      </w:tabs>
                      <w:rPr>
                        <w:sz w:val="17"/>
                        <w:szCs w:val="17"/>
                      </w:rPr>
                    </w:pPr>
                    <w:r>
                      <w:rPr>
                        <w:rFonts w:ascii="宋体" w:eastAsia="宋体" w:hAnsi="宋体" w:cs="宋体"/>
                        <w:sz w:val="17"/>
                        <w:szCs w:val="17"/>
                      </w:rPr>
                      <w:t>光纤与电缆及其应用技术</w:t>
                    </w:r>
                    <w:r>
                      <w:rPr>
                        <w:rFonts w:ascii="宋体" w:eastAsia="宋体" w:hAnsi="宋体" w:cs="宋体"/>
                        <w:sz w:val="17"/>
                        <w:szCs w:val="17"/>
                      </w:rPr>
                      <w:tab/>
                    </w:r>
                    <w:r>
                      <w:rPr>
                        <w:rFonts w:ascii="宋体" w:eastAsia="宋体" w:hAnsi="宋体" w:cs="宋体"/>
                        <w:sz w:val="14"/>
                        <w:szCs w:val="14"/>
                      </w:rPr>
                      <w:t>2008</w:t>
                    </w:r>
                    <w:r>
                      <w:rPr>
                        <w:rFonts w:ascii="宋体" w:eastAsia="宋体" w:hAnsi="宋体" w:cs="宋体"/>
                        <w:sz w:val="17"/>
                        <w:szCs w:val="17"/>
                      </w:rPr>
                      <w:t>年第</w:t>
                    </w:r>
                    <w:r>
                      <w:rPr>
                        <w:rFonts w:ascii="宋体" w:eastAsia="宋体" w:hAnsi="宋体" w:cs="宋体"/>
                        <w:sz w:val="14"/>
                        <w:szCs w:val="14"/>
                      </w:rPr>
                      <w:t>6</w:t>
                    </w:r>
                    <w:r>
                      <w:rPr>
                        <w:rFonts w:ascii="宋体" w:eastAsia="宋体" w:hAnsi="宋体" w:cs="宋体"/>
                        <w:sz w:val="17"/>
                        <w:szCs w:val="17"/>
                      </w:rPr>
                      <w:t>期</w:t>
                    </w:r>
                  </w:p>
                  <w:p w:rsidR="005740E3" w:rsidRDefault="00770955">
                    <w:pPr>
                      <w:pStyle w:val="Headerorfooter20"/>
                      <w:tabs>
                        <w:tab w:val="right" w:pos="8750"/>
                        <w:tab w:val="right" w:pos="9365"/>
                      </w:tabs>
                      <w:rPr>
                        <w:sz w:val="14"/>
                        <w:szCs w:val="14"/>
                      </w:rPr>
                    </w:pPr>
                    <w:r>
                      <w:rPr>
                        <w:rFonts w:ascii="宋体" w:eastAsia="宋体" w:hAnsi="宋体" w:cs="宋体"/>
                        <w:sz w:val="14"/>
                        <w:szCs w:val="14"/>
                        <w:u w:val="single"/>
                        <w:lang w:val="en-US" w:eastAsia="en-US" w:bidi="en-US"/>
                      </w:rPr>
                      <w:t>Optical Fiber Electric Ca</w:t>
                    </w:r>
                    <w:r w:rsidR="0043194A">
                      <w:rPr>
                        <w:rFonts w:ascii="宋体" w:eastAsia="宋体" w:hAnsi="宋体" w:cs="宋体"/>
                        <w:sz w:val="14"/>
                        <w:szCs w:val="14"/>
                        <w:u w:val="single"/>
                        <w:lang w:val="en-US" w:eastAsia="en-US" w:bidi="en-US"/>
                      </w:rPr>
                      <w:tab/>
                      <w:t>No. 6</w:t>
                    </w:r>
                    <w:r w:rsidR="0043194A">
                      <w:rPr>
                        <w:rFonts w:ascii="宋体" w:eastAsia="宋体" w:hAnsi="宋体" w:cs="宋体"/>
                        <w:sz w:val="14"/>
                        <w:szCs w:val="14"/>
                        <w:u w:val="single"/>
                        <w:lang w:val="en-US" w:eastAsia="en-US" w:bidi="en-US"/>
                      </w:rPr>
                      <w:tab/>
                      <w:t>2008</w:t>
                    </w:r>
                  </w:p>
                </w:txbxContent>
              </v:textbox>
              <w10:wrap anchorx="page" anchory="page"/>
            </v:shape>
          </w:pict>
        </mc:Fallback>
      </mc:AlternateContent>
    </w:r>
    <w:r>
      <w:rPr>
        <w:noProof/>
        <w:lang w:eastAsia="zh-CN" w:bidi="ar-SA"/>
      </w:rPr>
      <mc:AlternateContent>
        <mc:Choice Requires="wps">
          <w:drawing>
            <wp:anchor distT="0" distB="0" distL="114300" distR="114300" simplePos="0" relativeHeight="251657216" behindDoc="1" locked="0" layoutInCell="1" allowOverlap="1">
              <wp:simplePos x="0" y="0"/>
              <wp:positionH relativeFrom="page">
                <wp:posOffset>484505</wp:posOffset>
              </wp:positionH>
              <wp:positionV relativeFrom="page">
                <wp:posOffset>549910</wp:posOffset>
              </wp:positionV>
              <wp:extent cx="6102350" cy="0"/>
              <wp:effectExtent l="0" t="0" r="0" b="0"/>
              <wp:wrapNone/>
              <wp:docPr id="9" name="Shape 9"/>
              <wp:cNvGraphicFramePr/>
              <a:graphic xmlns:a="http://schemas.openxmlformats.org/drawingml/2006/main">
                <a:graphicData uri="http://schemas.microsoft.com/office/word/2010/wordprocessingShape">
                  <wps:wsp>
                    <wps:cNvCnPr/>
                    <wps:spPr>
                      <a:xfrm>
                        <a:off x="0" y="0"/>
                        <a:ext cx="6102350" cy="0"/>
                      </a:xfrm>
                      <a:prstGeom prst="straightConnector1">
                        <a:avLst/>
                      </a:prstGeom>
                      <a:ln w="12700">
                        <a:solidFill/>
                      </a:ln>
                    </wps:spPr>
                    <wps:bodyPr/>
                  </wps:wsp>
                </a:graphicData>
              </a:graphic>
            </wp:anchor>
          </w:drawing>
        </mc:Choice>
        <mc:Fallback>
          <w:pict>
            <v:shapetype w14:anchorId="2B6EB2EA" id="_x0000_t32" coordsize="21600,21600" o:spt="32" o:oned="t" path="m,l21600,21600e" filled="f">
              <v:path arrowok="t" fillok="f" o:connecttype="none"/>
              <o:lock v:ext="edit" shapetype="t"/>
            </v:shapetype>
            <v:shape id="Shape 9" o:spid="_x0000_s1026" type="#_x0000_t32" style="position:absolute;left:0;text-align:left;margin-left:38.15pt;margin-top:43.3pt;width:480.5pt;height:0;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LAfQEAAOYCAAAOAAAAZHJzL2Uyb0RvYy54bWysUsFOIzEMva+0/xDlvp1pV8Ay6pQDCC4I&#10;Ku3yASGTdCIlcWSHTvv3OGkpCG5oL05sx89+z1le7YIXW4PkIPZyPmulMFHD4OKml0//bn/9kYKy&#10;ioPyEE0v94bk1ernj+WUOrOAEfxgUDBIpG5KvRxzTl3TkB5NUDSDZCInLWBQmV3cNAOqidGDbxZt&#10;e95MgENC0IaIozeHpFxVfGuNzo/WksnC95Jny9Vitc/FNqul6jao0uj0cQz1jSmCcpGbnqBuVFbi&#10;Bd0XqOA0AoHNMw2hAWudNpUDs5m3n9j8HVUylQuLQ+kkE/0/WP2wXaNwQy8vpYgq8IpqV3FZpJkS&#10;dfziOq7x6FFaY+G5sxjKyQzErsq5P8lpdlloDp7P28XvM1Zdv+Wa98KElO8MBFEuvaSMym3GfA0x&#10;8tIA51VOtb2nzK258K2gdPVRTPzbFhdtW58ReDfcOu8PT33kijL7Ydpye4ZhX0nUOItZMY+LL9v6&#10;6Nfq9++5egUAAP//AwBQSwMEFAAGAAgAAAAhAHC9QFLaAAAACQEAAA8AAABkcnMvZG93bnJldi54&#10;bWxMj8FOwzAQRO9I/IO1SNyoA6VuFOJUgMS5IuXCbRNv44h4HcVuE/4eVxzguDOjtzPlbnGDONMU&#10;es8a7lcZCOLWm547DR+Ht7scRIjIBgfPpOGbAuyq66sSC+NnfqdzHTuRIBwK1GBjHAspQ2vJYVj5&#10;kTh5Rz85jOmcOmkmnBPcDfIhy5R02HP6YHGkV0vtV31yGraP5tOjetk0m3l/iHS0db5ftL69WZ6f&#10;QERa4l8YLvVTdahSp8af2AQxJIZap6SGXCkQFz9bb5PS/CqyKuX/BdUPAAAA//8DAFBLAQItABQA&#10;BgAIAAAAIQC2gziS/gAAAOEBAAATAAAAAAAAAAAAAAAAAAAAAABbQ29udGVudF9UeXBlc10ueG1s&#10;UEsBAi0AFAAGAAgAAAAhADj9If/WAAAAlAEAAAsAAAAAAAAAAAAAAAAALwEAAF9yZWxzLy5yZWxz&#10;UEsBAi0AFAAGAAgAAAAhAFBvEsB9AQAA5gIAAA4AAAAAAAAAAAAAAAAALgIAAGRycy9lMm9Eb2Mu&#10;eG1sUEsBAi0AFAAGAAgAAAAhAHC9QFLaAAAACQEAAA8AAAAAAAAAAAAAAAAA1wMAAGRycy9kb3du&#10;cmV2LnhtbFBLBQYAAAAABAAEAPMAAADeB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F0E36"/>
    <w:multiLevelType w:val="multilevel"/>
    <w:tmpl w:val="CFE046DE"/>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14"/>
        <w:szCs w:val="1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spelling="clean" w:grammar="clean"/>
  <w:defaultTabStop w:val="4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E3"/>
    <w:rsid w:val="0043194A"/>
    <w:rsid w:val="005740E3"/>
    <w:rsid w:val="00770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C4B2F"/>
  <w15:docId w15:val="{156A3AAA-A5ED-4A95-9D4D-1652513E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1">
    <w:name w:val="Heading #4|1_"/>
    <w:basedOn w:val="a0"/>
    <w:link w:val="Heading410"/>
    <w:rPr>
      <w:rFonts w:ascii="宋体" w:eastAsia="宋体" w:hAnsi="宋体" w:cs="宋体"/>
      <w:b/>
      <w:bCs/>
      <w:i w:val="0"/>
      <w:iCs w:val="0"/>
      <w:smallCaps w:val="0"/>
      <w:strike w:val="0"/>
      <w:sz w:val="19"/>
      <w:szCs w:val="19"/>
      <w:u w:val="none"/>
      <w:shd w:val="clear" w:color="auto" w:fill="auto"/>
      <w:lang w:val="zh-TW" w:eastAsia="zh-TW" w:bidi="zh-TW"/>
    </w:rPr>
  </w:style>
  <w:style w:type="character" w:customStyle="1" w:styleId="Headerorfooter2">
    <w:name w:val="Header or footer|2_"/>
    <w:basedOn w:val="a0"/>
    <w:link w:val="Headerorfooter20"/>
    <w:rPr>
      <w:b w:val="0"/>
      <w:bCs w:val="0"/>
      <w:i w:val="0"/>
      <w:iCs w:val="0"/>
      <w:smallCaps w:val="0"/>
      <w:strike w:val="0"/>
      <w:sz w:val="20"/>
      <w:szCs w:val="20"/>
      <w:u w:val="none"/>
      <w:shd w:val="clear" w:color="auto" w:fill="auto"/>
      <w:lang w:val="zh-TW" w:eastAsia="zh-TW" w:bidi="zh-TW"/>
    </w:rPr>
  </w:style>
  <w:style w:type="character" w:customStyle="1" w:styleId="Bodytext2">
    <w:name w:val="Body text|2_"/>
    <w:basedOn w:val="a0"/>
    <w:link w:val="Bodytext20"/>
    <w:rPr>
      <w:rFonts w:ascii="宋体" w:eastAsia="宋体" w:hAnsi="宋体" w:cs="宋体"/>
      <w:b w:val="0"/>
      <w:bCs w:val="0"/>
      <w:i w:val="0"/>
      <w:iCs w:val="0"/>
      <w:smallCaps w:val="0"/>
      <w:strike w:val="0"/>
      <w:sz w:val="14"/>
      <w:szCs w:val="14"/>
      <w:u w:val="none"/>
      <w:shd w:val="clear" w:color="auto" w:fill="auto"/>
    </w:rPr>
  </w:style>
  <w:style w:type="character" w:customStyle="1" w:styleId="Heading11">
    <w:name w:val="Heading #1|1_"/>
    <w:basedOn w:val="a0"/>
    <w:link w:val="Heading110"/>
    <w:rPr>
      <w:rFonts w:ascii="宋体" w:eastAsia="宋体" w:hAnsi="宋体" w:cs="宋体"/>
      <w:b w:val="0"/>
      <w:bCs w:val="0"/>
      <w:i w:val="0"/>
      <w:iCs w:val="0"/>
      <w:smallCaps w:val="0"/>
      <w:strike w:val="0"/>
      <w:sz w:val="38"/>
      <w:szCs w:val="38"/>
      <w:u w:val="none"/>
      <w:shd w:val="clear" w:color="auto" w:fill="auto"/>
      <w:lang w:val="zh-TW" w:eastAsia="zh-TW" w:bidi="zh-TW"/>
    </w:rPr>
  </w:style>
  <w:style w:type="character" w:customStyle="1" w:styleId="Heading21">
    <w:name w:val="Heading #2|1_"/>
    <w:basedOn w:val="a0"/>
    <w:link w:val="Heading210"/>
    <w:rPr>
      <w:rFonts w:ascii="宋体" w:eastAsia="宋体" w:hAnsi="宋体" w:cs="宋体"/>
      <w:b w:val="0"/>
      <w:bCs w:val="0"/>
      <w:i w:val="0"/>
      <w:iCs w:val="0"/>
      <w:smallCaps w:val="0"/>
      <w:strike w:val="0"/>
      <w:sz w:val="26"/>
      <w:szCs w:val="26"/>
      <w:u w:val="none"/>
      <w:shd w:val="clear" w:color="auto" w:fill="auto"/>
      <w:lang w:val="zh-TW" w:eastAsia="zh-TW" w:bidi="zh-TW"/>
    </w:rPr>
  </w:style>
  <w:style w:type="character" w:customStyle="1" w:styleId="Bodytext3">
    <w:name w:val="Body text|3_"/>
    <w:basedOn w:val="a0"/>
    <w:link w:val="Bodytext30"/>
    <w:rPr>
      <w:rFonts w:ascii="宋体" w:eastAsia="宋体" w:hAnsi="宋体" w:cs="宋体"/>
      <w:b w:val="0"/>
      <w:bCs w:val="0"/>
      <w:i w:val="0"/>
      <w:iCs w:val="0"/>
      <w:smallCaps w:val="0"/>
      <w:strike w:val="0"/>
      <w:sz w:val="17"/>
      <w:szCs w:val="17"/>
      <w:u w:val="none"/>
      <w:shd w:val="clear" w:color="auto" w:fill="auto"/>
      <w:lang w:val="zh-TW" w:eastAsia="zh-TW" w:bidi="zh-TW"/>
    </w:rPr>
  </w:style>
  <w:style w:type="character" w:customStyle="1" w:styleId="Bodytext6">
    <w:name w:val="Body text|6_"/>
    <w:basedOn w:val="a0"/>
    <w:link w:val="Bodytext60"/>
    <w:rPr>
      <w:b/>
      <w:bCs/>
      <w:i w:val="0"/>
      <w:iCs w:val="0"/>
      <w:smallCaps w:val="0"/>
      <w:strike w:val="0"/>
      <w:sz w:val="34"/>
      <w:szCs w:val="34"/>
      <w:u w:val="none"/>
      <w:shd w:val="clear" w:color="auto" w:fill="auto"/>
    </w:rPr>
  </w:style>
  <w:style w:type="character" w:customStyle="1" w:styleId="Bodytext4">
    <w:name w:val="Body text|4_"/>
    <w:basedOn w:val="a0"/>
    <w:link w:val="Bodytext40"/>
    <w:rPr>
      <w:b w:val="0"/>
      <w:bCs w:val="0"/>
      <w:i w:val="0"/>
      <w:iCs w:val="0"/>
      <w:smallCaps w:val="0"/>
      <w:strike w:val="0"/>
      <w:sz w:val="20"/>
      <w:szCs w:val="20"/>
      <w:u w:val="none"/>
      <w:shd w:val="clear" w:color="auto" w:fill="auto"/>
      <w:lang w:val="zh-TW" w:eastAsia="zh-TW" w:bidi="zh-TW"/>
    </w:rPr>
  </w:style>
  <w:style w:type="character" w:customStyle="1" w:styleId="Bodytext5">
    <w:name w:val="Body text|5_"/>
    <w:basedOn w:val="a0"/>
    <w:link w:val="Bodytext50"/>
    <w:rPr>
      <w:b/>
      <w:bCs/>
      <w:i w:val="0"/>
      <w:iCs w:val="0"/>
      <w:smallCaps w:val="0"/>
      <w:strike w:val="0"/>
      <w:sz w:val="16"/>
      <w:szCs w:val="16"/>
      <w:u w:val="none"/>
      <w:shd w:val="clear" w:color="auto" w:fill="auto"/>
    </w:rPr>
  </w:style>
  <w:style w:type="character" w:customStyle="1" w:styleId="Heading31">
    <w:name w:val="Heading #3|1_"/>
    <w:basedOn w:val="a0"/>
    <w:link w:val="Heading310"/>
    <w:rPr>
      <w:rFonts w:ascii="宋体" w:eastAsia="宋体" w:hAnsi="宋体" w:cs="宋体"/>
      <w:b w:val="0"/>
      <w:bCs w:val="0"/>
      <w:i w:val="0"/>
      <w:iCs w:val="0"/>
      <w:smallCaps w:val="0"/>
      <w:strike w:val="0"/>
      <w:sz w:val="26"/>
      <w:szCs w:val="26"/>
      <w:u w:val="none"/>
      <w:shd w:val="clear" w:color="auto" w:fill="auto"/>
      <w:lang w:val="zh-TW" w:eastAsia="zh-TW" w:bidi="zh-TW"/>
    </w:rPr>
  </w:style>
  <w:style w:type="character" w:customStyle="1" w:styleId="Bodytext1">
    <w:name w:val="Body text|1_"/>
    <w:basedOn w:val="a0"/>
    <w:link w:val="Bodytext10"/>
    <w:rPr>
      <w:rFonts w:ascii="宋体" w:eastAsia="宋体" w:hAnsi="宋体" w:cs="宋体"/>
      <w:b w:val="0"/>
      <w:bCs w:val="0"/>
      <w:i w:val="0"/>
      <w:iCs w:val="0"/>
      <w:smallCaps w:val="0"/>
      <w:strike w:val="0"/>
      <w:sz w:val="19"/>
      <w:szCs w:val="19"/>
      <w:u w:val="none"/>
      <w:shd w:val="clear" w:color="auto" w:fill="auto"/>
      <w:lang w:val="zh-TW" w:eastAsia="zh-TW" w:bidi="zh-TW"/>
    </w:rPr>
  </w:style>
  <w:style w:type="character" w:customStyle="1" w:styleId="Tablecaption1">
    <w:name w:val="Table caption|1_"/>
    <w:basedOn w:val="a0"/>
    <w:link w:val="Tablecaption10"/>
    <w:rPr>
      <w:rFonts w:ascii="宋体" w:eastAsia="宋体" w:hAnsi="宋体" w:cs="宋体"/>
      <w:b/>
      <w:bCs/>
      <w:i w:val="0"/>
      <w:iCs w:val="0"/>
      <w:smallCaps w:val="0"/>
      <w:strike w:val="0"/>
      <w:sz w:val="17"/>
      <w:szCs w:val="17"/>
      <w:u w:val="none"/>
      <w:shd w:val="clear" w:color="auto" w:fill="auto"/>
      <w:lang w:val="zh-TW" w:eastAsia="zh-TW" w:bidi="zh-TW"/>
    </w:rPr>
  </w:style>
  <w:style w:type="character" w:customStyle="1" w:styleId="Other1">
    <w:name w:val="Other|1_"/>
    <w:basedOn w:val="a0"/>
    <w:link w:val="Other10"/>
    <w:rPr>
      <w:rFonts w:ascii="宋体" w:eastAsia="宋体" w:hAnsi="宋体" w:cs="宋体"/>
      <w:b w:val="0"/>
      <w:bCs w:val="0"/>
      <w:i w:val="0"/>
      <w:iCs w:val="0"/>
      <w:smallCaps w:val="0"/>
      <w:strike w:val="0"/>
      <w:sz w:val="19"/>
      <w:szCs w:val="19"/>
      <w:u w:val="none"/>
      <w:shd w:val="clear" w:color="auto" w:fill="auto"/>
    </w:rPr>
  </w:style>
  <w:style w:type="paragraph" w:customStyle="1" w:styleId="Heading410">
    <w:name w:val="Heading #4|1"/>
    <w:basedOn w:val="a"/>
    <w:link w:val="Heading41"/>
    <w:pPr>
      <w:spacing w:line="310" w:lineRule="exact"/>
      <w:outlineLvl w:val="3"/>
    </w:pPr>
    <w:rPr>
      <w:rFonts w:ascii="宋体" w:eastAsia="宋体" w:hAnsi="宋体" w:cs="宋体"/>
      <w:b/>
      <w:bCs/>
      <w:sz w:val="19"/>
      <w:szCs w:val="19"/>
      <w:lang w:val="zh-TW" w:eastAsia="zh-TW" w:bidi="zh-TW"/>
    </w:rPr>
  </w:style>
  <w:style w:type="paragraph" w:customStyle="1" w:styleId="Headerorfooter20">
    <w:name w:val="Header or footer|2"/>
    <w:basedOn w:val="a"/>
    <w:link w:val="Headerorfooter2"/>
    <w:rPr>
      <w:sz w:val="20"/>
      <w:szCs w:val="20"/>
      <w:lang w:val="zh-TW" w:eastAsia="zh-TW" w:bidi="zh-TW"/>
    </w:rPr>
  </w:style>
  <w:style w:type="paragraph" w:customStyle="1" w:styleId="Bodytext20">
    <w:name w:val="Body text|2"/>
    <w:basedOn w:val="a"/>
    <w:link w:val="Bodytext2"/>
    <w:pPr>
      <w:spacing w:line="283" w:lineRule="exact"/>
      <w:ind w:left="400" w:hanging="210"/>
    </w:pPr>
    <w:rPr>
      <w:rFonts w:ascii="宋体" w:eastAsia="宋体" w:hAnsi="宋体" w:cs="宋体"/>
      <w:sz w:val="14"/>
      <w:szCs w:val="14"/>
    </w:rPr>
  </w:style>
  <w:style w:type="paragraph" w:customStyle="1" w:styleId="Heading110">
    <w:name w:val="Heading #1|1"/>
    <w:basedOn w:val="a"/>
    <w:link w:val="Heading11"/>
    <w:pPr>
      <w:spacing w:after="140"/>
      <w:ind w:left="830"/>
      <w:jc w:val="center"/>
      <w:outlineLvl w:val="0"/>
    </w:pPr>
    <w:rPr>
      <w:rFonts w:ascii="宋体" w:eastAsia="宋体" w:hAnsi="宋体" w:cs="宋体"/>
      <w:sz w:val="38"/>
      <w:szCs w:val="38"/>
      <w:lang w:val="zh-TW" w:eastAsia="zh-TW" w:bidi="zh-TW"/>
    </w:rPr>
  </w:style>
  <w:style w:type="paragraph" w:customStyle="1" w:styleId="Heading210">
    <w:name w:val="Heading #2|1"/>
    <w:basedOn w:val="a"/>
    <w:link w:val="Heading21"/>
    <w:pPr>
      <w:spacing w:after="50"/>
      <w:outlineLvl w:val="1"/>
    </w:pPr>
    <w:rPr>
      <w:rFonts w:ascii="宋体" w:eastAsia="宋体" w:hAnsi="宋体" w:cs="宋体"/>
      <w:sz w:val="26"/>
      <w:szCs w:val="26"/>
      <w:lang w:val="zh-TW" w:eastAsia="zh-TW" w:bidi="zh-TW"/>
    </w:rPr>
  </w:style>
  <w:style w:type="paragraph" w:customStyle="1" w:styleId="Bodytext30">
    <w:name w:val="Body text|3"/>
    <w:basedOn w:val="a"/>
    <w:link w:val="Bodytext3"/>
    <w:pPr>
      <w:spacing w:line="289" w:lineRule="exact"/>
      <w:ind w:left="400"/>
    </w:pPr>
    <w:rPr>
      <w:rFonts w:ascii="宋体" w:eastAsia="宋体" w:hAnsi="宋体" w:cs="宋体"/>
      <w:sz w:val="17"/>
      <w:szCs w:val="17"/>
      <w:lang w:val="zh-TW" w:eastAsia="zh-TW" w:bidi="zh-TW"/>
    </w:rPr>
  </w:style>
  <w:style w:type="paragraph" w:customStyle="1" w:styleId="Bodytext60">
    <w:name w:val="Body text|6"/>
    <w:basedOn w:val="a"/>
    <w:link w:val="Bodytext6"/>
    <w:pPr>
      <w:spacing w:after="80"/>
      <w:jc w:val="center"/>
    </w:pPr>
    <w:rPr>
      <w:b/>
      <w:bCs/>
      <w:sz w:val="34"/>
      <w:szCs w:val="34"/>
    </w:rPr>
  </w:style>
  <w:style w:type="paragraph" w:customStyle="1" w:styleId="Bodytext40">
    <w:name w:val="Body text|4"/>
    <w:basedOn w:val="a"/>
    <w:link w:val="Bodytext4"/>
    <w:pPr>
      <w:spacing w:after="70" w:line="310" w:lineRule="exact"/>
      <w:ind w:firstLine="440"/>
    </w:pPr>
    <w:rPr>
      <w:sz w:val="20"/>
      <w:szCs w:val="20"/>
      <w:lang w:val="zh-TW" w:eastAsia="zh-TW" w:bidi="zh-TW"/>
    </w:rPr>
  </w:style>
  <w:style w:type="paragraph" w:customStyle="1" w:styleId="Bodytext50">
    <w:name w:val="Body text|5"/>
    <w:basedOn w:val="a"/>
    <w:link w:val="Bodytext5"/>
    <w:pPr>
      <w:spacing w:line="360" w:lineRule="auto"/>
      <w:jc w:val="center"/>
    </w:pPr>
    <w:rPr>
      <w:b/>
      <w:bCs/>
      <w:sz w:val="16"/>
      <w:szCs w:val="16"/>
    </w:rPr>
  </w:style>
  <w:style w:type="paragraph" w:customStyle="1" w:styleId="Heading310">
    <w:name w:val="Heading #3|1"/>
    <w:basedOn w:val="a"/>
    <w:link w:val="Heading31"/>
    <w:pPr>
      <w:spacing w:after="110"/>
      <w:outlineLvl w:val="2"/>
    </w:pPr>
    <w:rPr>
      <w:rFonts w:ascii="宋体" w:eastAsia="宋体" w:hAnsi="宋体" w:cs="宋体"/>
      <w:sz w:val="26"/>
      <w:szCs w:val="26"/>
      <w:lang w:val="zh-TW" w:eastAsia="zh-TW" w:bidi="zh-TW"/>
    </w:rPr>
  </w:style>
  <w:style w:type="paragraph" w:customStyle="1" w:styleId="Bodytext10">
    <w:name w:val="Body text|1"/>
    <w:basedOn w:val="a"/>
    <w:link w:val="Bodytext1"/>
    <w:pPr>
      <w:spacing w:after="40" w:line="341" w:lineRule="auto"/>
      <w:ind w:firstLine="400"/>
    </w:pPr>
    <w:rPr>
      <w:rFonts w:ascii="宋体" w:eastAsia="宋体" w:hAnsi="宋体" w:cs="宋体"/>
      <w:sz w:val="19"/>
      <w:szCs w:val="19"/>
      <w:lang w:val="zh-TW" w:eastAsia="zh-TW" w:bidi="zh-TW"/>
    </w:rPr>
  </w:style>
  <w:style w:type="paragraph" w:customStyle="1" w:styleId="Tablecaption10">
    <w:name w:val="Table caption|1"/>
    <w:basedOn w:val="a"/>
    <w:link w:val="Tablecaption1"/>
    <w:pPr>
      <w:ind w:firstLine="180"/>
    </w:pPr>
    <w:rPr>
      <w:rFonts w:ascii="宋体" w:eastAsia="宋体" w:hAnsi="宋体" w:cs="宋体"/>
      <w:b/>
      <w:bCs/>
      <w:sz w:val="17"/>
      <w:szCs w:val="17"/>
      <w:lang w:val="zh-TW" w:eastAsia="zh-TW" w:bidi="zh-TW"/>
    </w:rPr>
  </w:style>
  <w:style w:type="paragraph" w:customStyle="1" w:styleId="Other10">
    <w:name w:val="Other|1"/>
    <w:basedOn w:val="a"/>
    <w:link w:val="Other1"/>
    <w:pPr>
      <w:spacing w:after="40" w:line="341" w:lineRule="auto"/>
      <w:ind w:firstLine="400"/>
    </w:pPr>
    <w:rPr>
      <w:rFonts w:ascii="宋体" w:eastAsia="宋体" w:hAnsi="宋体" w:cs="宋体"/>
      <w:sz w:val="19"/>
      <w:szCs w:val="19"/>
    </w:rPr>
  </w:style>
  <w:style w:type="paragraph" w:styleId="a3">
    <w:name w:val="footer"/>
    <w:basedOn w:val="a"/>
    <w:link w:val="a4"/>
    <w:uiPriority w:val="99"/>
    <w:unhideWhenUsed/>
    <w:rsid w:val="00770955"/>
    <w:pPr>
      <w:tabs>
        <w:tab w:val="center" w:pos="4153"/>
        <w:tab w:val="right" w:pos="8306"/>
      </w:tabs>
      <w:snapToGrid w:val="0"/>
    </w:pPr>
    <w:rPr>
      <w:sz w:val="18"/>
      <w:szCs w:val="18"/>
    </w:rPr>
  </w:style>
  <w:style w:type="character" w:customStyle="1" w:styleId="a4">
    <w:name w:val="页脚 字符"/>
    <w:basedOn w:val="a0"/>
    <w:link w:val="a3"/>
    <w:uiPriority w:val="99"/>
    <w:rsid w:val="00770955"/>
    <w:rPr>
      <w:rFonts w:eastAsia="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聚烯烃氧化诱导期的测试</dc:title>
  <dc:subject/>
  <dc:creator/>
  <cp:keywords/>
  <cp:lastModifiedBy>张琳</cp:lastModifiedBy>
  <cp:revision>2</cp:revision>
  <dcterms:created xsi:type="dcterms:W3CDTF">2020-01-06T03:25:00Z</dcterms:created>
  <dcterms:modified xsi:type="dcterms:W3CDTF">2020-01-06T03:26:00Z</dcterms:modified>
</cp:coreProperties>
</file>